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黑体" w:hAnsi="黑体" w:eastAsia="黑体" w:cs="方正小标宋简体"/>
          <w:sz w:val="32"/>
          <w:szCs w:val="32"/>
          <w:lang w:val="en-US" w:eastAsia="zh-CN"/>
        </w:rPr>
      </w:pPr>
      <w:r>
        <w:rPr>
          <w:rFonts w:hint="eastAsia" w:ascii="黑体" w:hAnsi="黑体" w:eastAsia="黑体" w:cs="方正小标宋简体"/>
          <w:sz w:val="32"/>
          <w:szCs w:val="32"/>
          <w:lang w:val="en-US" w:eastAsia="zh-CN"/>
        </w:rPr>
        <w:t>附件3：</w:t>
      </w: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both"/>
        <w:rPr>
          <w:rFonts w:hint="eastAsia" w:ascii="方正小标宋简体" w:hAnsi="方正小标宋简体" w:eastAsia="方正小标宋简体" w:cs="方正小标宋简体"/>
          <w:sz w:val="40"/>
          <w:szCs w:val="40"/>
        </w:rPr>
      </w:pPr>
    </w:p>
    <w:p>
      <w:pPr>
        <w:spacing w:line="540" w:lineRule="exact"/>
        <w:jc w:val="both"/>
        <w:rPr>
          <w:rFonts w:hint="eastAsia" w:ascii="方正小标宋简体" w:hAnsi="方正小标宋简体" w:eastAsia="方正小标宋简体" w:cs="方正小标宋简体"/>
          <w:sz w:val="40"/>
          <w:szCs w:val="40"/>
        </w:rPr>
      </w:pPr>
    </w:p>
    <w:p>
      <w:pPr>
        <w:spacing w:line="540" w:lineRule="exact"/>
        <w:jc w:val="center"/>
        <w:rPr>
          <w:rFonts w:hint="default"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内蒙古民族幼儿师范高等专科学校</w:t>
      </w:r>
    </w:p>
    <w:p>
      <w:pPr>
        <w:spacing w:line="540" w:lineRule="exact"/>
        <w:jc w:val="center"/>
        <w:rPr>
          <w:rFonts w:hint="eastAsia" w:ascii="方正小标宋简体" w:hAnsi="方正小标宋简体" w:eastAsia="方正小标宋简体" w:cs="方正小标宋简体"/>
          <w:sz w:val="52"/>
          <w:szCs w:val="52"/>
        </w:rPr>
      </w:pPr>
    </w:p>
    <w:p>
      <w:pPr>
        <w:spacing w:line="540" w:lineRule="exact"/>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2020年度部门预算公开报告</w:t>
      </w: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楷体_GB2312" w:hAnsi="楷体_GB2312" w:eastAsia="楷体_GB2312" w:cs="楷体_GB2312"/>
          <w:b/>
          <w:bCs/>
          <w:sz w:val="32"/>
          <w:szCs w:val="32"/>
        </w:rPr>
      </w:pPr>
      <w:r>
        <w:rPr>
          <w:rFonts w:hint="eastAsia" w:ascii="楷体_GB2312" w:hAnsi="楷体_GB2312" w:eastAsia="楷体_GB2312" w:cs="楷体_GB2312"/>
          <w:b/>
          <w:bCs/>
          <w:sz w:val="40"/>
          <w:szCs w:val="40"/>
        </w:rPr>
        <w:t>部门预算信息公开目录</w:t>
      </w:r>
      <w:r>
        <w:rPr>
          <w:rFonts w:hint="eastAsia" w:ascii="楷体_GB2312" w:hAnsi="楷体_GB2312" w:eastAsia="楷体_GB2312" w:cs="楷体_GB2312"/>
          <w:b/>
          <w:bCs/>
          <w:sz w:val="32"/>
          <w:szCs w:val="32"/>
        </w:rPr>
        <w:t xml:space="preserve"> </w:t>
      </w:r>
    </w:p>
    <w:p>
      <w:pPr>
        <w:spacing w:line="540" w:lineRule="exact"/>
        <w:rPr>
          <w:rFonts w:hint="eastAsia" w:ascii="楷体_GB2312" w:hAnsi="楷体_GB2312" w:eastAsia="楷体_GB2312" w:cs="楷体_GB2312"/>
          <w:b/>
          <w:bCs/>
          <w:sz w:val="32"/>
          <w:szCs w:val="32"/>
        </w:rPr>
      </w:pPr>
    </w:p>
    <w:p>
      <w:pPr>
        <w:spacing w:line="540" w:lineRule="exac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第一部分  本部门概况</w:t>
      </w:r>
    </w:p>
    <w:p>
      <w:pPr>
        <w:numPr>
          <w:ilvl w:val="0"/>
          <w:numId w:val="1"/>
        </w:num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主要职能、职责</w:t>
      </w:r>
    </w:p>
    <w:p>
      <w:pPr>
        <w:numPr>
          <w:ilvl w:val="0"/>
          <w:numId w:val="1"/>
        </w:num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机构设置情况</w:t>
      </w:r>
    </w:p>
    <w:p>
      <w:pPr>
        <w:spacing w:line="540" w:lineRule="exact"/>
        <w:rPr>
          <w:rFonts w:hint="eastAsia" w:ascii="楷体_GB2312" w:hAnsi="楷体_GB2312" w:eastAsia="楷体_GB2312" w:cs="楷体_GB2312"/>
          <w:b/>
          <w:bCs/>
          <w:sz w:val="32"/>
          <w:szCs w:val="32"/>
        </w:rPr>
      </w:pPr>
    </w:p>
    <w:p>
      <w:pPr>
        <w:spacing w:line="540" w:lineRule="exac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第二部分  2020年部门预算收支情况</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一、部门预算收支总体情况说明</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color w:val="000000"/>
          <w:sz w:val="32"/>
          <w:szCs w:val="32"/>
        </w:rPr>
        <w:t>一般公共预算财政拨款收支情况说明</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三、2020年“三公”经费财政预算安排情况</w:t>
      </w:r>
      <w:r>
        <w:rPr>
          <w:rFonts w:hint="eastAsia" w:ascii="楷体_GB2312" w:hAnsi="黑体" w:eastAsia="楷体_GB2312"/>
          <w:color w:val="000000"/>
          <w:sz w:val="32"/>
          <w:szCs w:val="32"/>
        </w:rPr>
        <w:t>说明</w:t>
      </w:r>
    </w:p>
    <w:p>
      <w:pPr>
        <w:adjustRightInd w:val="0"/>
        <w:snapToGrid w:val="0"/>
        <w:spacing w:line="54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四、机关运行经费安排情况说明</w:t>
      </w:r>
    </w:p>
    <w:p>
      <w:pPr>
        <w:adjustRightInd w:val="0"/>
        <w:snapToGrid w:val="0"/>
        <w:spacing w:line="54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五、政府采购预算情况说明</w:t>
      </w:r>
    </w:p>
    <w:p>
      <w:pPr>
        <w:spacing w:line="540" w:lineRule="exact"/>
        <w:ind w:firstLine="640"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sz w:val="32"/>
          <w:szCs w:val="32"/>
        </w:rPr>
        <w:t>六、政府性基金预算财政拨款支出情况</w:t>
      </w:r>
      <w:r>
        <w:rPr>
          <w:rFonts w:hint="eastAsia" w:ascii="楷体_GB2312" w:hAnsi="黑体" w:eastAsia="楷体_GB2312"/>
          <w:color w:val="000000"/>
          <w:sz w:val="32"/>
          <w:szCs w:val="32"/>
        </w:rPr>
        <w:t>说明</w:t>
      </w:r>
    </w:p>
    <w:p>
      <w:pPr>
        <w:rPr>
          <w:rFonts w:hint="eastAsia" w:ascii="楷体_GB2312" w:hAnsi="楷体_GB2312" w:eastAsia="楷体_GB2312" w:cs="楷体_GB2312"/>
          <w:b/>
          <w:bCs/>
          <w:sz w:val="32"/>
          <w:szCs w:val="32"/>
        </w:rPr>
      </w:pPr>
    </w:p>
    <w:p>
      <w:pPr>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第三部分  其他公开事项</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黑体" w:eastAsia="楷体_GB2312"/>
          <w:sz w:val="32"/>
          <w:szCs w:val="32"/>
        </w:rPr>
        <w:t>项目支出绩效目标情况说明</w:t>
      </w:r>
    </w:p>
    <w:p>
      <w:pPr>
        <w:spacing w:line="540" w:lineRule="exact"/>
        <w:ind w:firstLine="640"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sz w:val="32"/>
          <w:szCs w:val="32"/>
        </w:rPr>
        <w:t>二、国有资产占有使用情况</w:t>
      </w:r>
      <w:r>
        <w:rPr>
          <w:rFonts w:hint="eastAsia" w:ascii="楷体_GB2312" w:hAnsi="黑体" w:eastAsia="楷体_GB2312"/>
          <w:color w:val="000000"/>
          <w:sz w:val="32"/>
          <w:szCs w:val="32"/>
        </w:rPr>
        <w:t>说明</w:t>
      </w:r>
    </w:p>
    <w:p>
      <w:pPr>
        <w:spacing w:line="540" w:lineRule="exact"/>
        <w:rPr>
          <w:rFonts w:hint="eastAsia" w:ascii="楷体_GB2312" w:hAnsi="楷体_GB2312" w:eastAsia="楷体_GB2312" w:cs="楷体_GB2312"/>
          <w:b/>
          <w:bCs/>
          <w:sz w:val="32"/>
          <w:szCs w:val="32"/>
        </w:rPr>
      </w:pPr>
    </w:p>
    <w:p>
      <w:pPr>
        <w:spacing w:line="540" w:lineRule="exact"/>
        <w:rPr>
          <w:rFonts w:hint="eastAsia" w:ascii="楷体_GB2312" w:hAnsi="黑体" w:eastAsia="楷体_GB2312"/>
          <w:b/>
          <w:color w:val="000000"/>
          <w:sz w:val="32"/>
          <w:szCs w:val="32"/>
        </w:rPr>
      </w:pPr>
      <w:r>
        <w:rPr>
          <w:rFonts w:hint="eastAsia" w:ascii="楷体_GB2312" w:hAnsi="楷体_GB2312" w:eastAsia="楷体_GB2312" w:cs="楷体_GB2312"/>
          <w:b/>
          <w:bCs/>
          <w:sz w:val="32"/>
          <w:szCs w:val="32"/>
        </w:rPr>
        <w:t>第四部分  名词解释</w:t>
      </w:r>
    </w:p>
    <w:p>
      <w:pPr>
        <w:adjustRightInd w:val="0"/>
        <w:snapToGrid w:val="0"/>
        <w:spacing w:line="560" w:lineRule="exact"/>
        <w:rPr>
          <w:rFonts w:hint="eastAsia" w:ascii="楷体_GB2312" w:hAnsi="黑体" w:eastAsia="楷体_GB2312"/>
          <w:b/>
          <w:color w:val="000000"/>
          <w:sz w:val="32"/>
          <w:szCs w:val="32"/>
        </w:rPr>
      </w:pPr>
    </w:p>
    <w:p>
      <w:pPr>
        <w:adjustRightInd w:val="0"/>
        <w:snapToGrid w:val="0"/>
        <w:spacing w:line="560" w:lineRule="exact"/>
        <w:rPr>
          <w:rFonts w:hint="eastAsia" w:ascii="楷体_GB2312" w:hAnsi="黑体" w:eastAsia="楷体_GB2312"/>
          <w:b/>
          <w:color w:val="000000"/>
          <w:sz w:val="32"/>
          <w:szCs w:val="32"/>
        </w:rPr>
      </w:pPr>
      <w:r>
        <w:rPr>
          <w:rFonts w:hint="eastAsia" w:ascii="楷体_GB2312" w:hAnsi="黑体" w:eastAsia="楷体_GB2312"/>
          <w:b/>
          <w:color w:val="000000"/>
          <w:sz w:val="32"/>
          <w:szCs w:val="32"/>
        </w:rPr>
        <w:t>第五部分  预算公开联系方式及信息反馈渠道</w:t>
      </w:r>
    </w:p>
    <w:p>
      <w:pPr>
        <w:adjustRightInd w:val="0"/>
        <w:snapToGrid w:val="0"/>
        <w:spacing w:line="560" w:lineRule="exact"/>
        <w:rPr>
          <w:rFonts w:hint="eastAsia" w:ascii="楷体_GB2312" w:hAnsi="黑体" w:eastAsia="楷体_GB2312"/>
          <w:b/>
          <w:color w:val="000000"/>
          <w:sz w:val="32"/>
          <w:szCs w:val="32"/>
        </w:rPr>
      </w:pPr>
    </w:p>
    <w:p>
      <w:pPr>
        <w:adjustRightInd w:val="0"/>
        <w:snapToGrid w:val="0"/>
        <w:spacing w:line="560" w:lineRule="exact"/>
        <w:rPr>
          <w:rFonts w:hint="eastAsia" w:ascii="楷体_GB2312" w:hAnsi="黑体" w:eastAsia="楷体_GB2312"/>
          <w:b/>
          <w:color w:val="000000"/>
          <w:sz w:val="32"/>
          <w:szCs w:val="32"/>
        </w:rPr>
      </w:pPr>
    </w:p>
    <w:p>
      <w:pPr>
        <w:adjustRightInd w:val="0"/>
        <w:snapToGrid w:val="0"/>
        <w:spacing w:line="560" w:lineRule="exact"/>
        <w:rPr>
          <w:rFonts w:hint="eastAsia" w:ascii="楷体_GB2312" w:hAnsi="黑体" w:eastAsia="楷体_GB2312"/>
          <w:b/>
          <w:color w:val="000000"/>
          <w:sz w:val="32"/>
          <w:szCs w:val="32"/>
        </w:rPr>
      </w:pPr>
      <w:r>
        <w:rPr>
          <w:rFonts w:hint="eastAsia" w:ascii="楷体_GB2312" w:hAnsi="黑体" w:eastAsia="楷体_GB2312"/>
          <w:b/>
          <w:color w:val="000000"/>
          <w:sz w:val="32"/>
          <w:szCs w:val="32"/>
        </w:rPr>
        <w:t>第六部分  2020年部门预算公开表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一、2020财政拨款收支预算总表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二、2020年一般公共预算财政拨款支出预算表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三、2020年一般公共预算财政拨款基本支出预算表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四、部门收支预算总表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五、部门收入预算总表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六、部门支出预算总表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七、政府性基金预算财政拨款支出预算表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八、财政拨款“三公”经费支出预算表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九、2020年政府采购预算表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十、2020年一般性支出经费预算表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十一、项目支出绩效目标申报表</w:t>
      </w: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adjustRightInd w:val="0"/>
        <w:snapToGrid w:val="0"/>
        <w:spacing w:line="560" w:lineRule="exact"/>
        <w:ind w:firstLine="640" w:firstLineChars="200"/>
        <w:rPr>
          <w:rFonts w:hint="eastAsia" w:ascii="楷体_GB2312" w:hAnsi="黑体" w:eastAsia="楷体_GB2312"/>
          <w:color w:val="000000"/>
          <w:sz w:val="32"/>
          <w:szCs w:val="32"/>
        </w:rPr>
      </w:pPr>
    </w:p>
    <w:p>
      <w:pPr>
        <w:adjustRightInd w:val="0"/>
        <w:snapToGrid w:val="0"/>
        <w:spacing w:line="560" w:lineRule="exact"/>
        <w:ind w:firstLine="640" w:firstLineChars="200"/>
        <w:rPr>
          <w:rFonts w:hint="eastAsia" w:ascii="楷体_GB2312" w:hAnsi="黑体" w:eastAsia="楷体_GB2312"/>
          <w:color w:val="000000"/>
          <w:sz w:val="32"/>
          <w:szCs w:val="32"/>
        </w:rPr>
      </w:pPr>
    </w:p>
    <w:p>
      <w:pPr>
        <w:spacing w:line="560" w:lineRule="exact"/>
        <w:rPr>
          <w:rFonts w:hint="eastAsia" w:ascii="楷体_GB2312" w:hAnsi="楷体_GB2312" w:eastAsia="楷体_GB2312" w:cs="楷体_GB2312"/>
          <w:b/>
          <w:bCs/>
          <w:sz w:val="32"/>
          <w:szCs w:val="32"/>
        </w:rPr>
      </w:pPr>
    </w:p>
    <w:p>
      <w:pPr>
        <w:spacing w:line="560" w:lineRule="exact"/>
        <w:rPr>
          <w:rFonts w:hint="eastAsia" w:ascii="楷体_GB2312" w:hAnsi="楷体_GB2312" w:eastAsia="楷体_GB2312" w:cs="楷体_GB2312"/>
          <w:b/>
          <w:bCs/>
          <w:sz w:val="32"/>
          <w:szCs w:val="32"/>
        </w:rPr>
      </w:pPr>
    </w:p>
    <w:p>
      <w:pPr>
        <w:spacing w:line="560" w:lineRule="exact"/>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第一部分  本部门概况</w:t>
      </w:r>
    </w:p>
    <w:p>
      <w:pPr>
        <w:spacing w:line="560" w:lineRule="exact"/>
        <w:jc w:val="center"/>
        <w:rPr>
          <w:rFonts w:hint="eastAsia" w:ascii="楷体_GB2312" w:hAnsi="楷体_GB2312" w:eastAsia="楷体_GB2312" w:cs="楷体_GB2312"/>
          <w:b/>
          <w:bCs/>
          <w:sz w:val="32"/>
          <w:szCs w:val="32"/>
        </w:rPr>
      </w:pPr>
    </w:p>
    <w:p>
      <w:pPr>
        <w:numPr>
          <w:ilvl w:val="0"/>
          <w:numId w:val="2"/>
        </w:num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主要职能、职责</w:t>
      </w:r>
    </w:p>
    <w:p>
      <w:pPr>
        <w:snapToGrid w:val="0"/>
        <w:spacing w:line="560" w:lineRule="exact"/>
        <w:ind w:firstLine="640"/>
        <w:rPr>
          <w:rFonts w:hint="eastAsia" w:eastAsia="仿宋_GB2312"/>
          <w:sz w:val="32"/>
          <w:szCs w:val="32"/>
        </w:rPr>
      </w:pPr>
      <w:r>
        <w:rPr>
          <w:rFonts w:hint="eastAsia" w:eastAsia="仿宋_GB2312"/>
          <w:sz w:val="32"/>
          <w:szCs w:val="32"/>
          <w:lang w:val="en-US" w:eastAsia="zh-CN"/>
        </w:rPr>
        <w:t>内蒙古民族幼儿师范高等专科学校坚持社会主义办学方向，全面贯彻党的教育方针，以民族人才培养为核心，以满足当地及自治区学前教育、基础教育、民族文化艺术和社会经济发展人才为主要任务；认真落实国家关于发展学前教育的有关精神，为满足内蒙古学前教育事业和地方经济、社会、文化发展服务；立足当地、面向全区及周边省区，以学前教育师资的培养培训为主，培养德、智、体、美、劳全面发展的应用型民族幼教人才，同时创造条件积极发展艺术类专业，努力培养适应文化、艺术需求的民族艺术专门人才，建设具有鲜明地方特色、民族特色、师范特色的民族幼儿师范高等专科学校，为繁荣地区民族文化艺术事业提供人才保障。</w:t>
      </w:r>
    </w:p>
    <w:p>
      <w:pPr>
        <w:numPr>
          <w:ilvl w:val="0"/>
          <w:numId w:val="2"/>
        </w:num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机构设置情况</w:t>
      </w:r>
    </w:p>
    <w:p>
      <w:pPr>
        <w:snapToGrid w:val="0"/>
        <w:spacing w:line="560" w:lineRule="exact"/>
        <w:ind w:firstLine="640"/>
        <w:rPr>
          <w:rFonts w:hint="eastAsia" w:eastAsia="仿宋_GB2312"/>
          <w:sz w:val="32"/>
          <w:szCs w:val="32"/>
        </w:rPr>
      </w:pPr>
      <w:r>
        <w:rPr>
          <w:rFonts w:hint="eastAsia" w:eastAsia="仿宋_GB2312"/>
          <w:sz w:val="32"/>
          <w:szCs w:val="32"/>
        </w:rPr>
        <w:t>从预算单位构成看，</w:t>
      </w:r>
      <w:r>
        <w:rPr>
          <w:rFonts w:hint="eastAsia" w:eastAsia="仿宋_GB2312"/>
          <w:sz w:val="32"/>
          <w:szCs w:val="32"/>
          <w:lang w:val="en-US" w:eastAsia="zh-CN"/>
        </w:rPr>
        <w:t>内蒙古民族幼儿师范高等专科学校</w:t>
      </w:r>
      <w:r>
        <w:rPr>
          <w:rFonts w:hint="eastAsia" w:eastAsia="仿宋_GB2312"/>
          <w:sz w:val="32"/>
          <w:szCs w:val="32"/>
        </w:rPr>
        <w:t>部门预算包括：</w:t>
      </w:r>
      <w:r>
        <w:rPr>
          <w:rFonts w:hint="eastAsia" w:eastAsia="仿宋_GB2312"/>
          <w:sz w:val="32"/>
          <w:szCs w:val="32"/>
          <w:lang w:val="en-US" w:eastAsia="zh-CN"/>
        </w:rPr>
        <w:t>校</w:t>
      </w:r>
      <w:r>
        <w:rPr>
          <w:rFonts w:hint="eastAsia" w:eastAsia="仿宋_GB2312"/>
          <w:sz w:val="32"/>
          <w:szCs w:val="32"/>
        </w:rPr>
        <w:t>本级预算</w:t>
      </w:r>
      <w:r>
        <w:rPr>
          <w:rFonts w:hint="eastAsia" w:eastAsia="仿宋_GB2312"/>
          <w:sz w:val="32"/>
          <w:szCs w:val="32"/>
          <w:lang w:val="en-US" w:eastAsia="zh-CN"/>
        </w:rPr>
        <w:t>一个预算机构</w:t>
      </w:r>
      <w:r>
        <w:rPr>
          <w:rFonts w:hint="eastAsia" w:eastAsia="仿宋_GB2312"/>
          <w:sz w:val="32"/>
          <w:szCs w:val="32"/>
        </w:rPr>
        <w:t>。</w:t>
      </w:r>
    </w:p>
    <w:p>
      <w:pPr>
        <w:snapToGrid w:val="0"/>
        <w:spacing w:line="560" w:lineRule="exact"/>
        <w:ind w:firstLine="640"/>
        <w:rPr>
          <w:rFonts w:hint="eastAsia" w:eastAsia="仿宋_GB2312"/>
          <w:sz w:val="32"/>
          <w:szCs w:val="32"/>
          <w:lang w:val="en-US" w:eastAsia="zh-CN"/>
        </w:rPr>
      </w:pPr>
      <w:r>
        <w:rPr>
          <w:rFonts w:hint="eastAsia" w:eastAsia="仿宋_GB2312"/>
          <w:sz w:val="32"/>
          <w:szCs w:val="32"/>
          <w:lang w:val="en-US" w:eastAsia="zh-CN"/>
        </w:rPr>
        <w:t>设置处级内设机构24个（不含工会、团委）。</w:t>
      </w:r>
    </w:p>
    <w:p>
      <w:pPr>
        <w:snapToGrid w:val="0"/>
        <w:spacing w:line="560" w:lineRule="exact"/>
        <w:ind w:firstLine="640"/>
        <w:rPr>
          <w:rFonts w:hint="eastAsia" w:eastAsia="仿宋_GB2312"/>
          <w:sz w:val="32"/>
          <w:szCs w:val="32"/>
          <w:lang w:val="en-US" w:eastAsia="zh-CN"/>
        </w:rPr>
      </w:pPr>
      <w:r>
        <w:rPr>
          <w:rFonts w:hint="eastAsia" w:eastAsia="仿宋_GB2312"/>
          <w:sz w:val="32"/>
          <w:szCs w:val="32"/>
          <w:lang w:val="en-US" w:eastAsia="zh-CN"/>
        </w:rPr>
        <w:t>党政管理机构12个：党政办公室（挂党委巡查办牌子）、组织部、宣传统战部、监督检查室、教务处、科研处、人事处、学生工作处、招生就业处、财务国资处、后勤管理处、保卫处。</w:t>
      </w:r>
    </w:p>
    <w:p>
      <w:pPr>
        <w:snapToGrid w:val="0"/>
        <w:spacing w:line="560" w:lineRule="exact"/>
        <w:ind w:firstLine="640"/>
        <w:rPr>
          <w:rFonts w:hint="default" w:eastAsia="仿宋_GB2312"/>
          <w:sz w:val="32"/>
          <w:szCs w:val="32"/>
          <w:lang w:val="en-US" w:eastAsia="zh-CN"/>
        </w:rPr>
      </w:pPr>
      <w:r>
        <w:rPr>
          <w:rFonts w:hint="eastAsia" w:eastAsia="仿宋_GB2312"/>
          <w:sz w:val="32"/>
          <w:szCs w:val="32"/>
          <w:lang w:val="en-US" w:eastAsia="zh-CN"/>
        </w:rPr>
        <w:t>教学机构8个：学前教育系、音乐系、美术系、初等教育系、特殊教育系、基础教育部（挂马克思主义教研部牌子）、体育部、中专部（挂是民族艺术学校牌子）。</w:t>
      </w:r>
    </w:p>
    <w:p>
      <w:pPr>
        <w:snapToGrid w:val="0"/>
        <w:spacing w:line="560" w:lineRule="exact"/>
        <w:ind w:firstLine="640"/>
        <w:rPr>
          <w:rFonts w:hint="eastAsia" w:eastAsia="仿宋_GB2312"/>
          <w:sz w:val="32"/>
          <w:szCs w:val="32"/>
          <w:lang w:val="en-US" w:eastAsia="zh-CN"/>
        </w:rPr>
      </w:pPr>
      <w:r>
        <w:rPr>
          <w:rFonts w:hint="eastAsia" w:eastAsia="仿宋_GB2312"/>
          <w:sz w:val="32"/>
          <w:szCs w:val="32"/>
          <w:lang w:val="en-US" w:eastAsia="zh-CN"/>
        </w:rPr>
        <w:t>教辅机构4个：图书馆、网络信息中心、继续教育部（挂培训中心牌子）、学前教育研究所（产教融合办公室）。</w:t>
      </w:r>
    </w:p>
    <w:p>
      <w:pPr>
        <w:snapToGrid w:val="0"/>
        <w:spacing w:line="560" w:lineRule="exact"/>
        <w:ind w:firstLine="640"/>
        <w:rPr>
          <w:rFonts w:hint="eastAsia" w:eastAsia="仿宋_GB2312"/>
          <w:sz w:val="32"/>
          <w:szCs w:val="32"/>
        </w:rPr>
      </w:pPr>
      <w:r>
        <w:rPr>
          <w:rFonts w:hint="eastAsia" w:eastAsia="仿宋_GB2312"/>
          <w:sz w:val="32"/>
          <w:szCs w:val="32"/>
          <w:lang w:val="en-US" w:eastAsia="zh-CN"/>
        </w:rPr>
        <w:t>群团（2个）：工会、团委。</w:t>
      </w:r>
    </w:p>
    <w:p>
      <w:pPr>
        <w:snapToGrid w:val="0"/>
        <w:spacing w:line="560" w:lineRule="exact"/>
        <w:ind w:firstLine="640" w:firstLineChars="200"/>
        <w:rPr>
          <w:rFonts w:hint="eastAsia" w:ascii="楷体_GB2312" w:eastAsia="楷体_GB2312"/>
          <w:sz w:val="32"/>
          <w:szCs w:val="32"/>
        </w:rPr>
      </w:pPr>
      <w:r>
        <w:rPr>
          <w:rFonts w:hint="eastAsia" w:ascii="楷体_GB2312" w:eastAsia="楷体_GB2312"/>
          <w:sz w:val="32"/>
          <w:szCs w:val="32"/>
        </w:rPr>
        <w:t>（二）</w:t>
      </w:r>
      <w:r>
        <w:rPr>
          <w:rFonts w:hint="eastAsia" w:ascii="楷体_GB2312" w:eastAsia="楷体_GB2312"/>
          <w:sz w:val="32"/>
          <w:szCs w:val="32"/>
          <w:lang w:val="en-US" w:eastAsia="zh-CN"/>
        </w:rPr>
        <w:t>内蒙古民族幼儿师范高等专科学校</w:t>
      </w:r>
      <w:r>
        <w:rPr>
          <w:rFonts w:hint="eastAsia" w:ascii="楷体_GB2312" w:eastAsia="楷体_GB2312"/>
          <w:sz w:val="32"/>
          <w:szCs w:val="32"/>
        </w:rPr>
        <w:t>单位设置及人员情况</w:t>
      </w:r>
    </w:p>
    <w:p>
      <w:pPr>
        <w:snapToGri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纳入2020年部门预算编制范围的预算单位情况： </w:t>
      </w:r>
    </w:p>
    <w:p>
      <w:pPr>
        <w:snapToGrid w:val="0"/>
        <w:spacing w:line="560" w:lineRule="exact"/>
        <w:ind w:firstLine="643" w:firstLineChars="200"/>
        <w:jc w:val="center"/>
        <w:rPr>
          <w:rFonts w:hint="eastAsia" w:eastAsia="仿宋_GB2312"/>
          <w:b/>
          <w:sz w:val="32"/>
          <w:szCs w:val="32"/>
        </w:rPr>
      </w:pPr>
    </w:p>
    <w:p>
      <w:pPr>
        <w:snapToGrid w:val="0"/>
        <w:spacing w:line="560" w:lineRule="exact"/>
        <w:ind w:firstLine="643" w:firstLineChars="200"/>
        <w:jc w:val="center"/>
        <w:rPr>
          <w:rFonts w:hint="eastAsia" w:ascii="仿宋_GB2312" w:hAnsi="黑体" w:eastAsia="仿宋_GB2312"/>
          <w:color w:val="000000"/>
          <w:szCs w:val="21"/>
        </w:rPr>
      </w:pPr>
      <w:r>
        <w:rPr>
          <w:rFonts w:hint="eastAsia" w:eastAsia="仿宋_GB2312"/>
          <w:b/>
          <w:sz w:val="32"/>
          <w:szCs w:val="32"/>
        </w:rPr>
        <w:t>单位情况表</w:t>
      </w:r>
      <w:r>
        <w:rPr>
          <w:rFonts w:hint="eastAsia" w:ascii="黑体" w:hAnsi="黑体" w:eastAsia="黑体"/>
          <w:color w:val="000000"/>
          <w:sz w:val="32"/>
          <w:szCs w:val="32"/>
        </w:rPr>
        <w:t xml:space="preserve">                             </w:t>
      </w:r>
    </w:p>
    <w:tbl>
      <w:tblPr>
        <w:tblStyle w:val="3"/>
        <w:tblW w:w="0" w:type="auto"/>
        <w:jc w:val="center"/>
        <w:tblLayout w:type="fixed"/>
        <w:tblCellMar>
          <w:top w:w="0" w:type="dxa"/>
          <w:left w:w="108" w:type="dxa"/>
          <w:bottom w:w="0" w:type="dxa"/>
          <w:right w:w="108" w:type="dxa"/>
        </w:tblCellMar>
      </w:tblPr>
      <w:tblGrid>
        <w:gridCol w:w="938"/>
        <w:gridCol w:w="4372"/>
        <w:gridCol w:w="2999"/>
      </w:tblGrid>
      <w:tr>
        <w:tblPrEx>
          <w:tblCellMar>
            <w:top w:w="0" w:type="dxa"/>
            <w:left w:w="108" w:type="dxa"/>
            <w:bottom w:w="0" w:type="dxa"/>
            <w:right w:w="108" w:type="dxa"/>
          </w:tblCellMar>
        </w:tblPrEx>
        <w:trPr>
          <w:trHeight w:val="622" w:hRule="atLeast"/>
          <w:jc w:val="center"/>
        </w:trPr>
        <w:tc>
          <w:tcPr>
            <w:tcW w:w="93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hAnsi="黑体" w:eastAsia="仿宋_GB2312" w:cs="宋体"/>
                <w:bCs/>
                <w:color w:val="000000"/>
                <w:kern w:val="0"/>
                <w:szCs w:val="21"/>
              </w:rPr>
              <w:t>序号</w:t>
            </w:r>
          </w:p>
        </w:tc>
        <w:tc>
          <w:tcPr>
            <w:tcW w:w="43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bCs/>
                <w:color w:val="000000"/>
                <w:kern w:val="0"/>
                <w:szCs w:val="21"/>
              </w:rPr>
            </w:pPr>
            <w:r>
              <w:rPr>
                <w:rFonts w:hint="eastAsia" w:ascii="仿宋_GB2312" w:hAnsi="黑体" w:eastAsia="仿宋_GB2312" w:cs="宋体"/>
                <w:bCs/>
                <w:color w:val="000000"/>
                <w:kern w:val="0"/>
                <w:szCs w:val="21"/>
              </w:rPr>
              <w:t>单位名称</w:t>
            </w:r>
          </w:p>
        </w:tc>
        <w:tc>
          <w:tcPr>
            <w:tcW w:w="2999"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单位性质</w:t>
            </w:r>
          </w:p>
        </w:tc>
      </w:tr>
      <w:tr>
        <w:tblPrEx>
          <w:tblCellMar>
            <w:top w:w="0" w:type="dxa"/>
            <w:left w:w="108" w:type="dxa"/>
            <w:bottom w:w="0" w:type="dxa"/>
            <w:right w:w="108" w:type="dxa"/>
          </w:tblCellMar>
        </w:tblPrEx>
        <w:trPr>
          <w:trHeight w:val="475" w:hRule="atLeast"/>
          <w:jc w:val="center"/>
        </w:trPr>
        <w:tc>
          <w:tcPr>
            <w:tcW w:w="938"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p>
        </w:tc>
        <w:tc>
          <w:tcPr>
            <w:tcW w:w="4372"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eastAsia="仿宋_GB2312"/>
                <w:bCs/>
                <w:color w:val="000000"/>
                <w:kern w:val="0"/>
                <w:szCs w:val="21"/>
                <w:lang w:val="en-US" w:eastAsia="zh-CN"/>
              </w:rPr>
            </w:pPr>
            <w:r>
              <w:rPr>
                <w:rFonts w:hint="eastAsia" w:ascii="仿宋_GB2312" w:eastAsia="仿宋_GB2312"/>
                <w:bCs/>
                <w:color w:val="000000"/>
                <w:kern w:val="0"/>
                <w:szCs w:val="21"/>
                <w:lang w:val="en-US" w:eastAsia="zh-CN"/>
              </w:rPr>
              <w:t>内蒙古民族幼儿师范高等专科学校</w:t>
            </w:r>
          </w:p>
        </w:tc>
        <w:tc>
          <w:tcPr>
            <w:tcW w:w="2999" w:type="dxa"/>
            <w:tcBorders>
              <w:top w:val="nil"/>
              <w:left w:val="nil"/>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r>
              <w:rPr>
                <w:rFonts w:hint="eastAsia" w:ascii="仿宋_GB2312" w:eastAsia="仿宋_GB2312"/>
                <w:color w:val="000000"/>
                <w:kern w:val="0"/>
                <w:szCs w:val="21"/>
              </w:rPr>
              <w:t>财政拨款的</w:t>
            </w:r>
            <w:r>
              <w:rPr>
                <w:rFonts w:hint="eastAsia" w:ascii="仿宋_GB2312" w:eastAsia="仿宋_GB2312"/>
                <w:color w:val="000000"/>
                <w:kern w:val="0"/>
                <w:szCs w:val="21"/>
                <w:lang w:val="en-US" w:eastAsia="zh-CN"/>
              </w:rPr>
              <w:t>事业</w:t>
            </w:r>
            <w:r>
              <w:rPr>
                <w:rFonts w:hint="eastAsia" w:ascii="仿宋_GB2312" w:eastAsia="仿宋_GB2312"/>
                <w:color w:val="000000"/>
                <w:kern w:val="0"/>
                <w:szCs w:val="21"/>
              </w:rPr>
              <w:t>单位</w:t>
            </w:r>
          </w:p>
        </w:tc>
      </w:tr>
    </w:tbl>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第二部分  2020年部门预算收支情况</w:t>
      </w:r>
    </w:p>
    <w:p>
      <w:pPr>
        <w:spacing w:line="560" w:lineRule="exact"/>
        <w:jc w:val="center"/>
        <w:rPr>
          <w:rFonts w:hint="eastAsia" w:ascii="楷体_GB2312" w:hAnsi="楷体_GB2312" w:eastAsia="楷体_GB2312" w:cs="楷体_GB2312"/>
          <w:b/>
          <w:bCs/>
          <w:sz w:val="32"/>
          <w:szCs w:val="32"/>
        </w:rPr>
      </w:pP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一、部门预算收支总体情况说明</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收入预算 </w:t>
      </w:r>
      <w:r>
        <w:rPr>
          <w:rFonts w:hint="eastAsia" w:ascii="楷体_GB2312" w:hAnsi="楷体_GB2312" w:eastAsia="楷体_GB2312" w:cs="楷体_GB2312"/>
          <w:sz w:val="32"/>
          <w:szCs w:val="32"/>
          <w:lang w:val="en-US" w:eastAsia="zh-CN"/>
        </w:rPr>
        <w:t>5311.53</w:t>
      </w:r>
      <w:r>
        <w:rPr>
          <w:rFonts w:hint="eastAsia" w:ascii="楷体_GB2312" w:hAnsi="楷体_GB2312" w:eastAsia="楷体_GB2312" w:cs="楷体_GB2312"/>
          <w:sz w:val="32"/>
          <w:szCs w:val="32"/>
        </w:rPr>
        <w:t xml:space="preserve"> 万元，比上年预算减少 </w:t>
      </w:r>
      <w:r>
        <w:rPr>
          <w:rFonts w:hint="eastAsia" w:ascii="楷体_GB2312" w:hAnsi="楷体_GB2312" w:eastAsia="楷体_GB2312" w:cs="楷体_GB2312"/>
          <w:sz w:val="32"/>
          <w:szCs w:val="32"/>
          <w:lang w:val="en-US" w:eastAsia="zh-CN"/>
        </w:rPr>
        <w:t>45.6</w:t>
      </w:r>
      <w:r>
        <w:rPr>
          <w:rFonts w:hint="eastAsia" w:ascii="楷体_GB2312" w:hAnsi="楷体_GB2312" w:eastAsia="楷体_GB2312" w:cs="楷体_GB2312"/>
          <w:sz w:val="32"/>
          <w:szCs w:val="32"/>
        </w:rPr>
        <w:t xml:space="preserve"> 万元，下降</w:t>
      </w:r>
      <w:r>
        <w:rPr>
          <w:rFonts w:hint="eastAsia" w:ascii="楷体_GB2312" w:hAnsi="楷体_GB2312" w:eastAsia="楷体_GB2312" w:cs="楷体_GB2312"/>
          <w:sz w:val="32"/>
          <w:szCs w:val="32"/>
          <w:lang w:val="en-US" w:eastAsia="zh-CN"/>
        </w:rPr>
        <w:t>0.86</w:t>
      </w:r>
      <w:r>
        <w:rPr>
          <w:rFonts w:hint="eastAsia" w:ascii="楷体_GB2312" w:hAnsi="楷体_GB2312" w:eastAsia="楷体_GB2312" w:cs="楷体_GB2312"/>
          <w:sz w:val="32"/>
          <w:szCs w:val="32"/>
        </w:rPr>
        <w:t xml:space="preserve"> %，减少主要是由于</w:t>
      </w:r>
      <w:r>
        <w:rPr>
          <w:rFonts w:hint="eastAsia" w:ascii="楷体_GB2312" w:hAnsi="楷体_GB2312" w:eastAsia="楷体_GB2312" w:cs="楷体_GB2312"/>
          <w:sz w:val="32"/>
          <w:szCs w:val="32"/>
          <w:lang w:val="en-US" w:eastAsia="zh-CN"/>
        </w:rPr>
        <w:t>本年度缩减了各类项目资金、控制编人员工资本年度以编外人员工资拨入，本年度养老保险基数、公积金基数做了调整，预算收入相应调整</w:t>
      </w:r>
      <w:r>
        <w:rPr>
          <w:rFonts w:hint="eastAsia" w:ascii="楷体_GB2312" w:hAnsi="楷体_GB2312" w:eastAsia="楷体_GB2312" w:cs="楷体_GB2312"/>
          <w:sz w:val="32"/>
          <w:szCs w:val="32"/>
        </w:rPr>
        <w:t>。</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支出预算 </w:t>
      </w:r>
      <w:r>
        <w:rPr>
          <w:rFonts w:hint="eastAsia" w:ascii="楷体_GB2312" w:hAnsi="楷体_GB2312" w:eastAsia="楷体_GB2312" w:cs="楷体_GB2312"/>
          <w:sz w:val="32"/>
          <w:szCs w:val="32"/>
          <w:lang w:val="en-US" w:eastAsia="zh-CN"/>
        </w:rPr>
        <w:t>5311.53</w:t>
      </w:r>
      <w:r>
        <w:rPr>
          <w:rFonts w:hint="eastAsia" w:ascii="楷体_GB2312" w:hAnsi="楷体_GB2312" w:eastAsia="楷体_GB2312" w:cs="楷体_GB2312"/>
          <w:sz w:val="32"/>
          <w:szCs w:val="32"/>
        </w:rPr>
        <w:t xml:space="preserve"> 万元，比上年预算减少 </w:t>
      </w:r>
      <w:r>
        <w:rPr>
          <w:rFonts w:hint="eastAsia" w:ascii="楷体_GB2312" w:hAnsi="楷体_GB2312" w:eastAsia="楷体_GB2312" w:cs="楷体_GB2312"/>
          <w:sz w:val="32"/>
          <w:szCs w:val="32"/>
          <w:lang w:val="en-US" w:eastAsia="zh-CN"/>
        </w:rPr>
        <w:t>45.6</w:t>
      </w:r>
      <w:r>
        <w:rPr>
          <w:rFonts w:hint="eastAsia" w:ascii="楷体_GB2312" w:hAnsi="楷体_GB2312" w:eastAsia="楷体_GB2312" w:cs="楷体_GB2312"/>
          <w:sz w:val="32"/>
          <w:szCs w:val="32"/>
        </w:rPr>
        <w:t xml:space="preserve"> 万元，增下降 </w:t>
      </w:r>
      <w:r>
        <w:rPr>
          <w:rFonts w:hint="eastAsia" w:ascii="楷体_GB2312" w:hAnsi="楷体_GB2312" w:eastAsia="楷体_GB2312" w:cs="楷体_GB2312"/>
          <w:sz w:val="32"/>
          <w:szCs w:val="32"/>
          <w:lang w:val="en-US" w:eastAsia="zh-CN"/>
        </w:rPr>
        <w:t>0.86</w:t>
      </w:r>
      <w:r>
        <w:rPr>
          <w:rFonts w:hint="eastAsia" w:ascii="楷体_GB2312" w:hAnsi="楷体_GB2312" w:eastAsia="楷体_GB2312" w:cs="楷体_GB2312"/>
          <w:sz w:val="32"/>
          <w:szCs w:val="32"/>
        </w:rPr>
        <w:t xml:space="preserve"> %，减少主要是</w:t>
      </w:r>
      <w:r>
        <w:rPr>
          <w:rFonts w:hint="eastAsia" w:ascii="楷体_GB2312" w:hAnsi="楷体_GB2312" w:eastAsia="楷体_GB2312" w:cs="楷体_GB2312"/>
          <w:sz w:val="32"/>
          <w:szCs w:val="32"/>
          <w:lang w:val="en-US" w:eastAsia="zh-CN"/>
        </w:rPr>
        <w:t>本年度缩减了各类项目资金、控制编人员工资本年度以编外人员工资拨入，本年度养老保险基数、公积金基数做了调整，预算收入相应调整</w:t>
      </w:r>
      <w:r>
        <w:rPr>
          <w:rFonts w:hint="eastAsia" w:ascii="楷体_GB2312" w:hAnsi="楷体_GB2312" w:eastAsia="楷体_GB2312" w:cs="楷体_GB2312"/>
          <w:sz w:val="32"/>
          <w:szCs w:val="32"/>
        </w:rPr>
        <w:t>。</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（一）、2020年部门预算收入情况</w:t>
      </w:r>
      <w:r>
        <w:rPr>
          <w:rFonts w:hint="eastAsia" w:ascii="楷体_GB2312" w:hAnsi="黑体" w:eastAsia="楷体_GB2312"/>
          <w:color w:val="000000"/>
          <w:sz w:val="32"/>
          <w:szCs w:val="32"/>
        </w:rPr>
        <w:t>说明</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部门预算收入 </w:t>
      </w:r>
      <w:r>
        <w:rPr>
          <w:rFonts w:hint="eastAsia" w:ascii="楷体_GB2312" w:hAnsi="楷体_GB2312" w:eastAsia="楷体_GB2312" w:cs="楷体_GB2312"/>
          <w:sz w:val="32"/>
          <w:szCs w:val="32"/>
          <w:lang w:val="en-US" w:eastAsia="zh-CN"/>
        </w:rPr>
        <w:t>5311.53</w:t>
      </w:r>
      <w:r>
        <w:rPr>
          <w:rFonts w:hint="eastAsia" w:ascii="楷体_GB2312" w:hAnsi="楷体_GB2312" w:eastAsia="楷体_GB2312" w:cs="楷体_GB2312"/>
          <w:sz w:val="32"/>
          <w:szCs w:val="32"/>
        </w:rPr>
        <w:t xml:space="preserve">  万元，其中：一般公共预算拨款收入 </w:t>
      </w:r>
      <w:r>
        <w:rPr>
          <w:rFonts w:hint="eastAsia" w:ascii="楷体_GB2312" w:hAnsi="楷体_GB2312" w:eastAsia="楷体_GB2312" w:cs="楷体_GB2312"/>
          <w:sz w:val="32"/>
          <w:szCs w:val="32"/>
          <w:lang w:val="en-US" w:eastAsia="zh-CN"/>
        </w:rPr>
        <w:t>5311.53</w:t>
      </w:r>
      <w:r>
        <w:rPr>
          <w:rFonts w:hint="eastAsia" w:ascii="楷体_GB2312" w:hAnsi="楷体_GB2312" w:eastAsia="楷体_GB2312" w:cs="楷体_GB2312"/>
          <w:sz w:val="32"/>
          <w:szCs w:val="32"/>
        </w:rPr>
        <w:t xml:space="preserve">  万元，占比</w:t>
      </w:r>
      <w:r>
        <w:rPr>
          <w:rFonts w:hint="eastAsia" w:ascii="楷体_GB2312" w:hAnsi="楷体_GB2312" w:eastAsia="楷体_GB2312" w:cs="楷体_GB2312"/>
          <w:sz w:val="32"/>
          <w:szCs w:val="32"/>
          <w:lang w:val="en-US" w:eastAsia="zh-CN"/>
        </w:rPr>
        <w:t>100</w:t>
      </w:r>
      <w:r>
        <w:rPr>
          <w:rFonts w:hint="eastAsia" w:ascii="楷体_GB2312" w:hAnsi="楷体_GB2312" w:eastAsia="楷体_GB2312" w:cs="楷体_GB2312"/>
          <w:sz w:val="32"/>
          <w:szCs w:val="32"/>
        </w:rPr>
        <w:t xml:space="preserve"> %；政府性基金预算拨款收入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万元，占比</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%；事业收入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万元，占比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%；事业单位经营收入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万元，占比</w:t>
      </w:r>
      <w:r>
        <w:rPr>
          <w:rFonts w:hint="eastAsia" w:ascii="楷体_GB2312" w:hAnsi="楷体_GB2312" w:eastAsia="楷体_GB2312" w:cs="楷体_GB2312"/>
          <w:sz w:val="32"/>
          <w:szCs w:val="32"/>
          <w:lang w:val="en-US" w:eastAsia="zh-CN"/>
        </w:rPr>
        <w:t xml:space="preserve"> 0</w:t>
      </w:r>
      <w:r>
        <w:rPr>
          <w:rFonts w:hint="eastAsia" w:ascii="楷体_GB2312" w:hAnsi="楷体_GB2312" w:eastAsia="楷体_GB2312" w:cs="楷体_GB2312"/>
          <w:sz w:val="32"/>
          <w:szCs w:val="32"/>
        </w:rPr>
        <w:t xml:space="preserve"> %；，其他收入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万元，占比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%；上年结转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万元，占比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%，用事业基金弥补的收支差额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万元，占比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（二）、2020年部门预算支出情况</w:t>
      </w:r>
      <w:r>
        <w:rPr>
          <w:rFonts w:hint="eastAsia" w:ascii="楷体_GB2312" w:hAnsi="黑体" w:eastAsia="楷体_GB2312"/>
          <w:color w:val="000000"/>
          <w:sz w:val="32"/>
          <w:szCs w:val="32"/>
        </w:rPr>
        <w:t>说明</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部门预算支出 </w:t>
      </w:r>
      <w:r>
        <w:rPr>
          <w:rFonts w:hint="eastAsia" w:ascii="楷体_GB2312" w:hAnsi="楷体_GB2312" w:eastAsia="楷体_GB2312" w:cs="楷体_GB2312"/>
          <w:sz w:val="32"/>
          <w:szCs w:val="32"/>
          <w:lang w:val="en-US" w:eastAsia="zh-CN"/>
        </w:rPr>
        <w:t>5311.53</w:t>
      </w:r>
      <w:r>
        <w:rPr>
          <w:rFonts w:hint="eastAsia" w:ascii="楷体_GB2312" w:hAnsi="楷体_GB2312" w:eastAsia="楷体_GB2312" w:cs="楷体_GB2312"/>
          <w:sz w:val="32"/>
          <w:szCs w:val="32"/>
        </w:rPr>
        <w:t xml:space="preserve">  万元，其中：基本支出 </w:t>
      </w:r>
      <w:r>
        <w:rPr>
          <w:rFonts w:hint="eastAsia" w:ascii="楷体_GB2312" w:hAnsi="楷体_GB2312" w:eastAsia="楷体_GB2312" w:cs="楷体_GB2312"/>
          <w:sz w:val="32"/>
          <w:szCs w:val="32"/>
          <w:lang w:val="en-US" w:eastAsia="zh-CN"/>
        </w:rPr>
        <w:t>5169.53</w:t>
      </w:r>
      <w:r>
        <w:rPr>
          <w:rFonts w:hint="eastAsia" w:ascii="楷体_GB2312" w:hAnsi="楷体_GB2312" w:eastAsia="楷体_GB2312" w:cs="楷体_GB2312"/>
          <w:sz w:val="32"/>
          <w:szCs w:val="32"/>
        </w:rPr>
        <w:t xml:space="preserve"> 万元，占比 </w:t>
      </w:r>
      <w:r>
        <w:rPr>
          <w:rFonts w:hint="eastAsia" w:ascii="楷体_GB2312" w:hAnsi="楷体_GB2312" w:eastAsia="楷体_GB2312" w:cs="楷体_GB2312"/>
          <w:sz w:val="32"/>
          <w:szCs w:val="32"/>
          <w:lang w:val="en-US" w:eastAsia="zh-CN"/>
        </w:rPr>
        <w:t>97.33</w:t>
      </w:r>
      <w:r>
        <w:rPr>
          <w:rFonts w:hint="eastAsia" w:ascii="楷体_GB2312" w:hAnsi="楷体_GB2312" w:eastAsia="楷体_GB2312" w:cs="楷体_GB2312"/>
          <w:sz w:val="32"/>
          <w:szCs w:val="32"/>
        </w:rPr>
        <w:t xml:space="preserve"> %；项目支出 </w:t>
      </w:r>
      <w:r>
        <w:rPr>
          <w:rFonts w:hint="eastAsia" w:ascii="楷体_GB2312" w:hAnsi="楷体_GB2312" w:eastAsia="楷体_GB2312" w:cs="楷体_GB2312"/>
          <w:sz w:val="32"/>
          <w:szCs w:val="32"/>
          <w:lang w:val="en-US" w:eastAsia="zh-CN"/>
        </w:rPr>
        <w:t>142</w:t>
      </w:r>
      <w:r>
        <w:rPr>
          <w:rFonts w:hint="eastAsia" w:ascii="楷体_GB2312" w:hAnsi="楷体_GB2312" w:eastAsia="楷体_GB2312" w:cs="楷体_GB2312"/>
          <w:sz w:val="32"/>
          <w:szCs w:val="32"/>
        </w:rPr>
        <w:t xml:space="preserve"> 万元，占比 </w:t>
      </w:r>
      <w:r>
        <w:rPr>
          <w:rFonts w:hint="eastAsia" w:ascii="楷体_GB2312" w:hAnsi="楷体_GB2312" w:eastAsia="楷体_GB2312" w:cs="楷体_GB2312"/>
          <w:sz w:val="32"/>
          <w:szCs w:val="32"/>
          <w:lang w:val="en-US" w:eastAsia="zh-CN"/>
        </w:rPr>
        <w:t>2.67</w:t>
      </w:r>
      <w:r>
        <w:rPr>
          <w:rFonts w:hint="eastAsia" w:ascii="楷体_GB2312" w:hAnsi="楷体_GB2312" w:eastAsia="楷体_GB2312" w:cs="楷体_GB2312"/>
          <w:sz w:val="32"/>
          <w:szCs w:val="32"/>
        </w:rPr>
        <w:t xml:space="preserve"> %；事业单位经营支出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万元，占比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主要用于机构运转</w:t>
      </w:r>
      <w:r>
        <w:rPr>
          <w:rFonts w:hint="eastAsia" w:ascii="楷体_GB2312" w:hAnsi="楷体_GB2312" w:eastAsia="楷体_GB2312" w:cs="楷体_GB2312"/>
          <w:sz w:val="32"/>
          <w:szCs w:val="32"/>
          <w:lang w:val="en-US" w:eastAsia="zh-CN"/>
        </w:rPr>
        <w:t>以及专业活动的工资福利支出、商品和服务支出、对个人和家庭的补助支出以及项目支出等</w:t>
      </w:r>
      <w:r>
        <w:rPr>
          <w:rFonts w:hint="eastAsia" w:ascii="楷体_GB2312" w:hAnsi="楷体_GB2312" w:eastAsia="楷体_GB2312" w:cs="楷体_GB2312"/>
          <w:sz w:val="32"/>
          <w:szCs w:val="32"/>
        </w:rPr>
        <w:t>方面</w:t>
      </w:r>
      <w:r>
        <w:rPr>
          <w:rFonts w:hint="eastAsia" w:ascii="楷体_GB2312" w:hAnsi="楷体_GB2312" w:eastAsia="楷体_GB2312" w:cs="楷体_GB2312"/>
          <w:sz w:val="32"/>
          <w:szCs w:val="32"/>
          <w:lang w:val="en-US" w:eastAsia="zh-CN"/>
        </w:rPr>
        <w:t>的</w:t>
      </w:r>
      <w:r>
        <w:rPr>
          <w:rFonts w:hint="eastAsia" w:ascii="楷体_GB2312" w:hAnsi="楷体_GB2312" w:eastAsia="楷体_GB2312" w:cs="楷体_GB2312"/>
          <w:sz w:val="32"/>
          <w:szCs w:val="32"/>
        </w:rPr>
        <w:t>支出。</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color w:val="000000"/>
          <w:sz w:val="32"/>
          <w:szCs w:val="32"/>
        </w:rPr>
        <w:t>二、一般公共预算财政拨款收支情况说明</w:t>
      </w:r>
    </w:p>
    <w:p>
      <w:pPr>
        <w:spacing w:line="560" w:lineRule="exact"/>
        <w:ind w:firstLine="640" w:firstLineChars="200"/>
        <w:rPr>
          <w:rFonts w:hint="eastAsia" w:ascii="楷体_GB2312" w:hAnsi="楷体_GB2312" w:eastAsia="楷体_GB2312" w:cs="楷体_GB2312"/>
          <w:sz w:val="36"/>
          <w:szCs w:val="36"/>
        </w:rPr>
      </w:pPr>
      <w:r>
        <w:rPr>
          <w:rFonts w:hint="eastAsia" w:ascii="楷体_GB2312" w:hAnsi="楷体_GB2312" w:eastAsia="楷体_GB2312" w:cs="楷体_GB2312"/>
          <w:sz w:val="32"/>
          <w:szCs w:val="32"/>
        </w:rPr>
        <w:t>（一）财政拨款规模情况</w:t>
      </w:r>
    </w:p>
    <w:p>
      <w:pPr>
        <w:spacing w:line="560" w:lineRule="exact"/>
        <w:ind w:firstLine="640" w:firstLineChars="200"/>
        <w:rPr>
          <w:rFonts w:hint="eastAsia" w:ascii="楷体_GB2312" w:hAnsi="楷体_GB2312" w:eastAsia="楷体_GB2312" w:cs="楷体_GB2312"/>
          <w:b/>
          <w:sz w:val="36"/>
          <w:szCs w:val="36"/>
        </w:rPr>
      </w:pPr>
      <w:r>
        <w:rPr>
          <w:rFonts w:hint="eastAsia" w:ascii="楷体_GB2312" w:hAnsi="楷体_GB2312" w:eastAsia="楷体_GB2312" w:cs="楷体_GB2312"/>
          <w:sz w:val="32"/>
          <w:szCs w:val="32"/>
        </w:rPr>
        <w:t xml:space="preserve">财政拨款收支预算  </w:t>
      </w:r>
      <w:r>
        <w:rPr>
          <w:rFonts w:hint="eastAsia" w:ascii="楷体_GB2312" w:hAnsi="楷体_GB2312" w:eastAsia="楷体_GB2312" w:cs="楷体_GB2312"/>
          <w:sz w:val="32"/>
          <w:szCs w:val="32"/>
          <w:lang w:val="en-US" w:eastAsia="zh-CN"/>
        </w:rPr>
        <w:t>5311.53</w:t>
      </w:r>
      <w:r>
        <w:rPr>
          <w:rFonts w:hint="eastAsia" w:ascii="楷体_GB2312" w:hAnsi="楷体_GB2312" w:eastAsia="楷体_GB2312" w:cs="楷体_GB2312"/>
          <w:sz w:val="32"/>
          <w:szCs w:val="32"/>
        </w:rPr>
        <w:t xml:space="preserve"> 万元，包括：一般公共预算财政拨款  </w:t>
      </w:r>
      <w:r>
        <w:rPr>
          <w:rFonts w:hint="eastAsia" w:ascii="楷体_GB2312" w:hAnsi="楷体_GB2312" w:eastAsia="楷体_GB2312" w:cs="楷体_GB2312"/>
          <w:sz w:val="32"/>
          <w:szCs w:val="32"/>
          <w:lang w:val="en-US" w:eastAsia="zh-CN"/>
        </w:rPr>
        <w:t>5311.53</w:t>
      </w:r>
      <w:r>
        <w:rPr>
          <w:rFonts w:hint="eastAsia" w:ascii="楷体_GB2312" w:hAnsi="楷体_GB2312" w:eastAsia="楷体_GB2312" w:cs="楷体_GB2312"/>
          <w:sz w:val="32"/>
          <w:szCs w:val="32"/>
        </w:rPr>
        <w:t xml:space="preserve">  万元，政府性基金预算财政拨款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万元，上年结转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（二）一般公共预算财政拨款具体使用安排情况</w:t>
      </w:r>
    </w:p>
    <w:p>
      <w:pPr>
        <w:adjustRightInd w:val="0"/>
        <w:snapToGrid w:val="0"/>
        <w:spacing w:line="560" w:lineRule="exact"/>
        <w:ind w:firstLine="640" w:firstLineChars="200"/>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bCs/>
          <w:sz w:val="32"/>
          <w:szCs w:val="32"/>
        </w:rPr>
        <w:t>1.</w:t>
      </w:r>
      <w:r>
        <w:rPr>
          <w:rFonts w:hint="eastAsia" w:ascii="楷体_GB2312" w:hAnsi="楷体_GB2312" w:eastAsia="楷体_GB2312" w:cs="楷体_GB2312"/>
          <w:b/>
          <w:sz w:val="32"/>
          <w:szCs w:val="32"/>
        </w:rPr>
        <w:t>一般公共服务类</w:t>
      </w:r>
      <w:r>
        <w:rPr>
          <w:rFonts w:hint="eastAsia" w:ascii="楷体_GB2312" w:hAnsi="楷体_GB2312" w:eastAsia="楷体_GB2312" w:cs="楷体_GB2312"/>
          <w:sz w:val="32"/>
          <w:szCs w:val="32"/>
        </w:rPr>
        <w:t xml:space="preserve"> </w:t>
      </w:r>
      <w:r>
        <w:rPr>
          <w:rFonts w:hint="eastAsia" w:ascii="楷体_GB2312" w:hAnsi="楷体_GB2312" w:eastAsia="楷体_GB2312" w:cs="楷体_GB2312"/>
          <w:sz w:val="32"/>
          <w:szCs w:val="32"/>
          <w:lang w:val="en-US" w:eastAsia="zh-CN"/>
        </w:rPr>
        <w:t>10</w:t>
      </w:r>
      <w:r>
        <w:rPr>
          <w:rFonts w:hint="eastAsia" w:ascii="楷体_GB2312" w:hAnsi="楷体_GB2312" w:eastAsia="楷体_GB2312" w:cs="楷体_GB2312"/>
          <w:sz w:val="32"/>
          <w:szCs w:val="32"/>
        </w:rPr>
        <w:t xml:space="preserve"> 万元，比上年预算数增加</w:t>
      </w:r>
      <w:r>
        <w:rPr>
          <w:rFonts w:hint="eastAsia" w:ascii="楷体_GB2312" w:hAnsi="楷体_GB2312" w:eastAsia="楷体_GB2312" w:cs="楷体_GB2312"/>
          <w:sz w:val="32"/>
          <w:szCs w:val="32"/>
          <w:lang w:val="en-US" w:eastAsia="zh-CN"/>
        </w:rPr>
        <w:t>10</w:t>
      </w:r>
      <w:r>
        <w:rPr>
          <w:rFonts w:hint="eastAsia" w:ascii="楷体_GB2312" w:hAnsi="楷体_GB2312" w:eastAsia="楷体_GB2312" w:cs="楷体_GB2312"/>
          <w:sz w:val="32"/>
          <w:szCs w:val="32"/>
        </w:rPr>
        <w:t xml:space="preserve"> 万元。</w:t>
      </w:r>
      <w:r>
        <w:rPr>
          <w:rFonts w:hint="eastAsia" w:ascii="楷体_GB2312" w:hAnsi="楷体_GB2312" w:eastAsia="楷体_GB2312" w:cs="楷体_GB2312"/>
          <w:sz w:val="32"/>
          <w:szCs w:val="32"/>
          <w:lang w:val="en-US" w:eastAsia="zh-CN"/>
        </w:rPr>
        <w:t>主要原因是</w:t>
      </w:r>
      <w:bookmarkStart w:id="0" w:name="_GoBack"/>
      <w:bookmarkEnd w:id="0"/>
      <w:r>
        <w:rPr>
          <w:rFonts w:hint="eastAsia" w:ascii="楷体_GB2312" w:hAnsi="楷体_GB2312" w:eastAsia="楷体_GB2312" w:cs="楷体_GB2312"/>
          <w:sz w:val="32"/>
          <w:szCs w:val="32"/>
          <w:lang w:val="en-US" w:eastAsia="zh-CN"/>
        </w:rPr>
        <w:t>2019年度派驻纪检工作组项目经费拨入教育类支出，2020年度此项目经费拨入一般公共服务类支出。</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w:t>
      </w:r>
      <w:r>
        <w:rPr>
          <w:rFonts w:hint="eastAsia" w:ascii="楷体_GB2312" w:hAnsi="楷体_GB2312" w:eastAsia="楷体_GB2312" w:cs="楷体_GB2312"/>
          <w:b/>
          <w:sz w:val="32"/>
          <w:szCs w:val="32"/>
        </w:rPr>
        <w:t xml:space="preserve">社会保障和就业类  </w:t>
      </w:r>
      <w:r>
        <w:rPr>
          <w:rFonts w:hint="eastAsia" w:ascii="楷体_GB2312" w:hAnsi="楷体_GB2312" w:eastAsia="楷体_GB2312" w:cs="楷体_GB2312"/>
          <w:sz w:val="32"/>
          <w:szCs w:val="32"/>
          <w:lang w:val="en-US" w:eastAsia="zh-CN"/>
        </w:rPr>
        <w:t>513.08</w:t>
      </w:r>
      <w:r>
        <w:rPr>
          <w:rFonts w:hint="eastAsia" w:ascii="楷体_GB2312" w:hAnsi="楷体_GB2312" w:eastAsia="楷体_GB2312" w:cs="楷体_GB2312"/>
          <w:sz w:val="32"/>
          <w:szCs w:val="32"/>
        </w:rPr>
        <w:t xml:space="preserve">  万元，比上年预算数增加 </w:t>
      </w:r>
      <w:r>
        <w:rPr>
          <w:rFonts w:hint="eastAsia" w:ascii="楷体_GB2312" w:hAnsi="楷体_GB2312" w:eastAsia="楷体_GB2312" w:cs="楷体_GB2312"/>
          <w:sz w:val="32"/>
          <w:szCs w:val="32"/>
          <w:lang w:val="en-US" w:eastAsia="zh-CN"/>
        </w:rPr>
        <w:t>106.74</w:t>
      </w:r>
      <w:r>
        <w:rPr>
          <w:rFonts w:hint="eastAsia" w:ascii="楷体_GB2312" w:hAnsi="楷体_GB2312" w:eastAsia="楷体_GB2312" w:cs="楷体_GB2312"/>
          <w:sz w:val="32"/>
          <w:szCs w:val="32"/>
        </w:rPr>
        <w:t xml:space="preserve"> 万元。主要</w:t>
      </w:r>
      <w:r>
        <w:rPr>
          <w:rFonts w:hint="eastAsia" w:ascii="楷体_GB2312" w:hAnsi="楷体_GB2312" w:eastAsia="楷体_GB2312" w:cs="楷体_GB2312"/>
          <w:sz w:val="32"/>
          <w:szCs w:val="32"/>
          <w:lang w:val="en-US" w:eastAsia="zh-CN"/>
        </w:rPr>
        <w:t>用于养老保险、医疗保险调整基数</w:t>
      </w:r>
      <w:r>
        <w:rPr>
          <w:rFonts w:hint="eastAsia" w:ascii="楷体_GB2312" w:hAnsi="楷体_GB2312" w:eastAsia="楷体_GB2312" w:cs="楷体_GB2312"/>
          <w:sz w:val="32"/>
          <w:szCs w:val="32"/>
        </w:rPr>
        <w:t>。</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3、</w:t>
      </w:r>
      <w:r>
        <w:rPr>
          <w:rFonts w:hint="eastAsia" w:ascii="楷体_GB2312" w:hAnsi="楷体_GB2312" w:eastAsia="楷体_GB2312" w:cs="楷体_GB2312"/>
          <w:b/>
          <w:sz w:val="32"/>
          <w:szCs w:val="32"/>
          <w:lang w:val="en-US" w:eastAsia="zh-CN"/>
        </w:rPr>
        <w:t xml:space="preserve">卫生健康类  </w:t>
      </w:r>
      <w:r>
        <w:rPr>
          <w:rFonts w:hint="eastAsia" w:ascii="楷体_GB2312" w:hAnsi="楷体_GB2312" w:eastAsia="楷体_GB2312" w:cs="楷体_GB2312"/>
          <w:color w:val="000000"/>
          <w:sz w:val="32"/>
          <w:szCs w:val="32"/>
          <w:lang w:val="en-US" w:eastAsia="zh-CN"/>
        </w:rPr>
        <w:t>160.46 万元，比上年预算数增加23.13万元。主要用于</w:t>
      </w:r>
      <w:r>
        <w:rPr>
          <w:rFonts w:hint="eastAsia" w:ascii="楷体_GB2312" w:hAnsi="楷体_GB2312" w:eastAsia="楷体_GB2312" w:cs="楷体_GB2312"/>
          <w:sz w:val="32"/>
          <w:szCs w:val="32"/>
          <w:lang w:val="en-US" w:eastAsia="zh-CN"/>
        </w:rPr>
        <w:t>养老保险、医疗保险调整基数。</w:t>
      </w:r>
      <w:r>
        <w:rPr>
          <w:rFonts w:hint="eastAsia" w:ascii="楷体_GB2312" w:hAnsi="楷体_GB2312" w:eastAsia="楷体_GB2312" w:cs="楷体_GB2312"/>
          <w:sz w:val="32"/>
          <w:szCs w:val="32"/>
        </w:rPr>
        <w:t xml:space="preserve">  </w:t>
      </w:r>
    </w:p>
    <w:p>
      <w:pPr>
        <w:adjustRightInd w:val="0"/>
        <w:snapToGrid w:val="0"/>
        <w:spacing w:line="560" w:lineRule="exact"/>
        <w:ind w:firstLine="640" w:firstLineChars="200"/>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4、</w:t>
      </w:r>
      <w:r>
        <w:rPr>
          <w:rFonts w:hint="eastAsia" w:ascii="楷体_GB2312" w:hAnsi="楷体_GB2312" w:eastAsia="楷体_GB2312" w:cs="楷体_GB2312"/>
          <w:b/>
          <w:sz w:val="32"/>
          <w:szCs w:val="32"/>
          <w:lang w:val="en-US" w:eastAsia="zh-CN"/>
        </w:rPr>
        <w:t>住房保障类</w:t>
      </w:r>
      <w:r>
        <w:rPr>
          <w:rFonts w:hint="eastAsia" w:ascii="楷体_GB2312" w:hAnsi="楷体_GB2312" w:eastAsia="楷体_GB2312" w:cs="楷体_GB2312"/>
          <w:sz w:val="32"/>
          <w:szCs w:val="32"/>
        </w:rPr>
        <w:t xml:space="preserve">  </w:t>
      </w:r>
      <w:r>
        <w:rPr>
          <w:rFonts w:hint="eastAsia" w:ascii="楷体_GB2312" w:hAnsi="楷体_GB2312" w:eastAsia="楷体_GB2312" w:cs="楷体_GB2312"/>
          <w:sz w:val="32"/>
          <w:szCs w:val="32"/>
          <w:lang w:val="en-US" w:eastAsia="zh-CN"/>
        </w:rPr>
        <w:t>234.09 万元，比上年预算数减少9.81万元。主要由于住房公积金基数调整。</w:t>
      </w:r>
    </w:p>
    <w:p>
      <w:pPr>
        <w:adjustRightInd w:val="0"/>
        <w:snapToGrid w:val="0"/>
        <w:spacing w:line="560" w:lineRule="exact"/>
        <w:ind w:firstLine="640" w:firstLineChars="200"/>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b/>
          <w:sz w:val="32"/>
          <w:szCs w:val="32"/>
          <w:lang w:val="en-US" w:eastAsia="zh-CN"/>
        </w:rPr>
        <w:t>教育类</w:t>
      </w:r>
      <w:r>
        <w:rPr>
          <w:rFonts w:hint="eastAsia" w:ascii="楷体_GB2312" w:hAnsi="楷体_GB2312" w:eastAsia="楷体_GB2312" w:cs="楷体_GB2312"/>
          <w:sz w:val="32"/>
          <w:szCs w:val="32"/>
          <w:lang w:val="en-US" w:eastAsia="zh-CN"/>
        </w:rPr>
        <w:t xml:space="preserve"> 4393.9 万元，比上年预算数减少175.66 万元。主要由于缩减各种专项资金，同时2019年度派驻纪检工作组项目经费拨入教育类支出，2020年度此项目经费拨入一般公共服务类支出。</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三、2020年“三公”经费财政预算安排情况</w:t>
      </w:r>
      <w:r>
        <w:rPr>
          <w:rFonts w:hint="eastAsia" w:ascii="楷体_GB2312" w:hAnsi="黑体" w:eastAsia="楷体_GB2312"/>
          <w:color w:val="000000"/>
          <w:sz w:val="32"/>
          <w:szCs w:val="32"/>
        </w:rPr>
        <w:t>说明</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财政拨款“三公”经费支出预算  </w:t>
      </w:r>
      <w:r>
        <w:rPr>
          <w:rFonts w:hint="eastAsia" w:ascii="楷体_GB2312" w:hAnsi="楷体_GB2312" w:eastAsia="楷体_GB2312" w:cs="楷体_GB2312"/>
          <w:sz w:val="32"/>
          <w:szCs w:val="32"/>
          <w:lang w:val="en-US" w:eastAsia="zh-CN"/>
        </w:rPr>
        <w:t>3</w:t>
      </w:r>
      <w:r>
        <w:rPr>
          <w:rFonts w:hint="eastAsia" w:ascii="楷体_GB2312" w:hAnsi="楷体_GB2312" w:eastAsia="楷体_GB2312" w:cs="楷体_GB2312"/>
          <w:sz w:val="32"/>
          <w:szCs w:val="32"/>
        </w:rPr>
        <w:t xml:space="preserve"> 万元，比上年增加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万元，增长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%。其中：</w:t>
      </w:r>
    </w:p>
    <w:p>
      <w:pPr>
        <w:adjustRightInd w:val="0"/>
        <w:snapToGrid w:val="0"/>
        <w:spacing w:line="560" w:lineRule="exact"/>
        <w:ind w:firstLine="640" w:firstLineChars="200"/>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rPr>
        <w:t xml:space="preserve">1、因公出国（境）费用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万元，比上年预算数增加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万元，增长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w:t>
      </w:r>
      <w:r>
        <w:rPr>
          <w:rFonts w:hint="eastAsia" w:ascii="楷体_GB2312" w:hAnsi="楷体_GB2312" w:eastAsia="楷体_GB2312" w:cs="楷体_GB2312"/>
          <w:sz w:val="32"/>
          <w:szCs w:val="32"/>
          <w:lang w:val="en-US" w:eastAsia="zh-CN"/>
        </w:rPr>
        <w:t>与上年相比无变动。</w:t>
      </w:r>
    </w:p>
    <w:p>
      <w:pPr>
        <w:adjustRightInd w:val="0"/>
        <w:snapToGrid w:val="0"/>
        <w:spacing w:line="560" w:lineRule="exact"/>
        <w:ind w:firstLine="640" w:firstLineChars="200"/>
        <w:rPr>
          <w:rFonts w:hint="default" w:ascii="楷体_GB2312" w:hAnsi="楷体_GB2312" w:eastAsia="楷体_GB2312" w:cs="楷体_GB2312"/>
          <w:sz w:val="32"/>
          <w:szCs w:val="32"/>
          <w:highlight w:val="yellow"/>
          <w:lang w:val="en-US" w:eastAsia="zh-CN"/>
        </w:rPr>
      </w:pPr>
      <w:r>
        <w:rPr>
          <w:rFonts w:hint="eastAsia" w:ascii="楷体_GB2312" w:hAnsi="楷体_GB2312" w:eastAsia="楷体_GB2312" w:cs="楷体_GB2312"/>
          <w:sz w:val="32"/>
          <w:szCs w:val="32"/>
        </w:rPr>
        <w:t xml:space="preserve">2、公务接待费  </w:t>
      </w:r>
      <w:r>
        <w:rPr>
          <w:rFonts w:hint="eastAsia" w:ascii="楷体_GB2312" w:hAnsi="楷体_GB2312" w:eastAsia="楷体_GB2312" w:cs="楷体_GB2312"/>
          <w:sz w:val="32"/>
          <w:szCs w:val="32"/>
          <w:lang w:val="en-US" w:eastAsia="zh-CN"/>
        </w:rPr>
        <w:t>3</w:t>
      </w:r>
      <w:r>
        <w:rPr>
          <w:rFonts w:hint="eastAsia" w:ascii="楷体_GB2312" w:hAnsi="楷体_GB2312" w:eastAsia="楷体_GB2312" w:cs="楷体_GB2312"/>
          <w:sz w:val="32"/>
          <w:szCs w:val="32"/>
        </w:rPr>
        <w:t xml:space="preserve"> 万元，比上年预算数减少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万元，下降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w:t>
      </w:r>
      <w:r>
        <w:rPr>
          <w:rFonts w:hint="eastAsia" w:ascii="楷体_GB2312" w:hAnsi="楷体_GB2312" w:eastAsia="楷体_GB2312" w:cs="楷体_GB2312"/>
          <w:sz w:val="32"/>
          <w:szCs w:val="32"/>
          <w:lang w:val="en-US" w:eastAsia="zh-CN"/>
        </w:rPr>
        <w:t>与上年相比无变动。</w:t>
      </w:r>
    </w:p>
    <w:p>
      <w:pPr>
        <w:adjustRightInd w:val="0"/>
        <w:snapToGrid w:val="0"/>
        <w:spacing w:line="560" w:lineRule="exact"/>
        <w:ind w:left="160" w:leftChars="76" w:firstLine="480" w:firstLineChars="15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rPr>
        <w:t xml:space="preserve">3、公务用车购置及运行维护费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万元，比上年预算增加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万元，增长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%。其中，公务用车购置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万元，比上年预算增加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万元，增长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%；公务用车运行维护费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万元，比上年预算</w:t>
      </w:r>
      <w:r>
        <w:rPr>
          <w:rFonts w:hint="eastAsia" w:ascii="楷体_GB2312" w:hAnsi="楷体_GB2312" w:eastAsia="楷体_GB2312" w:cs="楷体_GB2312"/>
          <w:sz w:val="32"/>
          <w:szCs w:val="32"/>
          <w:highlight w:val="none"/>
        </w:rPr>
        <w:t>增加</w:t>
      </w:r>
      <w:r>
        <w:rPr>
          <w:rFonts w:hint="eastAsia" w:ascii="楷体_GB2312" w:hAnsi="楷体_GB2312" w:eastAsia="楷体_GB2312" w:cs="楷体_GB2312"/>
          <w:sz w:val="32"/>
          <w:szCs w:val="32"/>
        </w:rPr>
        <w:t xml:space="preserve">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万元，增长</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w:t>
      </w:r>
      <w:r>
        <w:rPr>
          <w:rFonts w:hint="eastAsia" w:ascii="楷体_GB2312" w:hAnsi="楷体_GB2312" w:eastAsia="楷体_GB2312" w:cs="楷体_GB2312"/>
          <w:sz w:val="32"/>
          <w:szCs w:val="32"/>
          <w:highlight w:val="none"/>
        </w:rPr>
        <w:t>主要是由于</w:t>
      </w:r>
      <w:r>
        <w:rPr>
          <w:rFonts w:hint="eastAsia" w:ascii="楷体_GB2312" w:hAnsi="楷体_GB2312" w:eastAsia="楷体_GB2312" w:cs="楷体_GB2312"/>
          <w:sz w:val="32"/>
          <w:szCs w:val="32"/>
          <w:highlight w:val="none"/>
          <w:lang w:val="en-US" w:eastAsia="zh-CN"/>
        </w:rPr>
        <w:t>系统漏洞，无法显示余额</w:t>
      </w:r>
      <w:r>
        <w:rPr>
          <w:rFonts w:hint="eastAsia" w:ascii="楷体_GB2312" w:hAnsi="楷体_GB2312" w:eastAsia="楷体_GB2312" w:cs="楷体_GB2312"/>
          <w:sz w:val="32"/>
          <w:szCs w:val="32"/>
        </w:rPr>
        <w:t>。</w:t>
      </w:r>
    </w:p>
    <w:p>
      <w:pPr>
        <w:adjustRightInd w:val="0"/>
        <w:snapToGrid w:val="0"/>
        <w:spacing w:line="560" w:lineRule="exact"/>
        <w:rPr>
          <w:rFonts w:hint="eastAsia" w:ascii="楷体_GB2312" w:hAnsi="黑体" w:eastAsia="楷体_GB2312"/>
          <w:color w:val="000000"/>
          <w:sz w:val="32"/>
          <w:szCs w:val="32"/>
        </w:rPr>
      </w:pPr>
      <w:r>
        <w:rPr>
          <w:rFonts w:hint="eastAsia" w:ascii="楷体_GB2312" w:hAnsi="黑体" w:eastAsia="楷体_GB2312"/>
          <w:color w:val="000000"/>
          <w:sz w:val="32"/>
          <w:szCs w:val="32"/>
        </w:rPr>
        <w:t xml:space="preserve">    四、机关运行经费安排情况说明</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机关运行经费，是指各部门的公用经费，包括办公及印刷费、邮电费、差旅费、会议费、福利费、日常维修费、专业材料及一般设备购置费、办公用房水电费、办公用房取暖费、办公用房物业管理费、公务用车运行维护费以及其他费用。</w:t>
      </w:r>
    </w:p>
    <w:p>
      <w:pPr>
        <w:adjustRightInd w:val="0"/>
        <w:snapToGrid w:val="0"/>
        <w:spacing w:line="560" w:lineRule="exact"/>
        <w:ind w:firstLine="640" w:firstLineChars="200"/>
        <w:rPr>
          <w:rFonts w:hint="default" w:ascii="楷体_GB2312" w:hAnsi="楷体_GB2312" w:eastAsia="楷体_GB2312" w:cs="楷体_GB2312"/>
          <w:color w:val="000000"/>
          <w:sz w:val="32"/>
          <w:szCs w:val="32"/>
          <w:lang w:val="en-US" w:eastAsia="zh-CN"/>
        </w:rPr>
      </w:pPr>
      <w:r>
        <w:rPr>
          <w:rFonts w:hint="eastAsia" w:ascii="楷体_GB2312" w:hAnsi="楷体_GB2312" w:eastAsia="楷体_GB2312" w:cs="楷体_GB2312"/>
          <w:sz w:val="32"/>
          <w:szCs w:val="32"/>
        </w:rPr>
        <w:t>2020年，我单位机关运行</w:t>
      </w:r>
      <w:r>
        <w:rPr>
          <w:rFonts w:hint="eastAsia" w:ascii="楷体_GB2312" w:hAnsi="楷体_GB2312" w:eastAsia="楷体_GB2312" w:cs="楷体_GB2312"/>
          <w:color w:val="000000"/>
          <w:sz w:val="32"/>
          <w:szCs w:val="32"/>
        </w:rPr>
        <w:t>经费财政拨款</w:t>
      </w:r>
      <w:r>
        <w:rPr>
          <w:rFonts w:hint="eastAsia" w:ascii="楷体_GB2312" w:hAnsi="楷体_GB2312" w:eastAsia="楷体_GB2312" w:cs="楷体_GB2312"/>
          <w:sz w:val="32"/>
          <w:szCs w:val="32"/>
        </w:rPr>
        <w:t>预算</w:t>
      </w:r>
      <w:r>
        <w:rPr>
          <w:rFonts w:hint="eastAsia" w:ascii="楷体_GB2312" w:hAnsi="楷体_GB2312" w:eastAsia="楷体_GB2312" w:cs="楷体_GB2312"/>
          <w:color w:val="000000"/>
          <w:sz w:val="32"/>
          <w:szCs w:val="32"/>
          <w:lang w:val="en-US" w:eastAsia="zh-CN"/>
        </w:rPr>
        <w:t>831.38</w:t>
      </w:r>
      <w:r>
        <w:rPr>
          <w:rFonts w:hint="eastAsia" w:ascii="楷体_GB2312" w:hAnsi="楷体_GB2312" w:eastAsia="楷体_GB2312" w:cs="楷体_GB2312"/>
          <w:color w:val="000000"/>
          <w:sz w:val="32"/>
          <w:szCs w:val="32"/>
        </w:rPr>
        <w:t xml:space="preserve"> 万元，比上年</w:t>
      </w:r>
      <w:r>
        <w:rPr>
          <w:rFonts w:hint="eastAsia" w:ascii="楷体_GB2312" w:hAnsi="楷体_GB2312" w:eastAsia="楷体_GB2312" w:cs="楷体_GB2312"/>
          <w:sz w:val="32"/>
          <w:szCs w:val="32"/>
        </w:rPr>
        <w:t>增加</w:t>
      </w:r>
      <w:r>
        <w:rPr>
          <w:rFonts w:hint="eastAsia" w:ascii="楷体_GB2312" w:hAnsi="楷体_GB2312" w:eastAsia="楷体_GB2312" w:cs="楷体_GB2312"/>
          <w:sz w:val="32"/>
          <w:szCs w:val="32"/>
          <w:lang w:val="en-US" w:eastAsia="zh-CN"/>
        </w:rPr>
        <w:t xml:space="preserve"> 8.32</w:t>
      </w:r>
      <w:r>
        <w:rPr>
          <w:rFonts w:hint="eastAsia" w:ascii="楷体_GB2312" w:hAnsi="楷体_GB2312" w:eastAsia="楷体_GB2312" w:cs="楷体_GB2312"/>
          <w:color w:val="000000"/>
          <w:sz w:val="32"/>
          <w:szCs w:val="32"/>
        </w:rPr>
        <w:t>万元，</w:t>
      </w:r>
      <w:r>
        <w:rPr>
          <w:rFonts w:hint="eastAsia" w:ascii="楷体_GB2312" w:hAnsi="楷体_GB2312" w:eastAsia="楷体_GB2312" w:cs="楷体_GB2312"/>
          <w:sz w:val="32"/>
          <w:szCs w:val="32"/>
        </w:rPr>
        <w:t>增长</w:t>
      </w:r>
      <w:r>
        <w:rPr>
          <w:rFonts w:hint="eastAsia" w:ascii="楷体_GB2312" w:hAnsi="楷体_GB2312" w:eastAsia="楷体_GB2312" w:cs="楷体_GB2312"/>
          <w:sz w:val="32"/>
          <w:szCs w:val="32"/>
          <w:lang w:val="en-US" w:eastAsia="zh-CN"/>
        </w:rPr>
        <w:t>1.01</w:t>
      </w:r>
      <w:r>
        <w:rPr>
          <w:rFonts w:hint="eastAsia" w:ascii="楷体_GB2312" w:hAnsi="楷体_GB2312" w:eastAsia="楷体_GB2312" w:cs="楷体_GB2312"/>
          <w:sz w:val="32"/>
          <w:szCs w:val="32"/>
        </w:rPr>
        <w:t>%</w:t>
      </w:r>
      <w:r>
        <w:rPr>
          <w:rFonts w:hint="eastAsia" w:ascii="楷体_GB2312" w:hAnsi="楷体_GB2312" w:eastAsia="楷体_GB2312" w:cs="楷体_GB2312"/>
          <w:color w:val="000000"/>
          <w:sz w:val="32"/>
          <w:szCs w:val="32"/>
        </w:rPr>
        <w:t xml:space="preserve">。主要包括以下支出：办公费 </w:t>
      </w:r>
      <w:r>
        <w:rPr>
          <w:rFonts w:hint="eastAsia" w:ascii="楷体_GB2312" w:hAnsi="楷体_GB2312" w:eastAsia="楷体_GB2312" w:cs="楷体_GB2312"/>
          <w:color w:val="000000"/>
          <w:sz w:val="32"/>
          <w:szCs w:val="32"/>
          <w:lang w:val="en-US" w:eastAsia="zh-CN"/>
        </w:rPr>
        <w:t>2</w:t>
      </w:r>
      <w:r>
        <w:rPr>
          <w:rFonts w:hint="eastAsia" w:ascii="楷体_GB2312" w:hAnsi="楷体_GB2312" w:eastAsia="楷体_GB2312" w:cs="楷体_GB2312"/>
          <w:color w:val="000000"/>
          <w:sz w:val="32"/>
          <w:szCs w:val="32"/>
        </w:rPr>
        <w:t xml:space="preserve"> 万元、</w:t>
      </w:r>
      <w:r>
        <w:rPr>
          <w:rFonts w:hint="eastAsia" w:ascii="楷体_GB2312" w:hAnsi="楷体_GB2312" w:eastAsia="楷体_GB2312" w:cs="楷体_GB2312"/>
          <w:color w:val="000000"/>
          <w:sz w:val="32"/>
          <w:szCs w:val="32"/>
          <w:lang w:val="en-US" w:eastAsia="zh-CN"/>
        </w:rPr>
        <w:t>印刷费0.5万元、水费32.5万元、电费22万元、取暖费320万元、物业管理费208万元、</w:t>
      </w:r>
      <w:r>
        <w:rPr>
          <w:rFonts w:hint="eastAsia" w:ascii="楷体_GB2312" w:hAnsi="楷体_GB2312" w:eastAsia="楷体_GB2312" w:cs="楷体_GB2312"/>
          <w:color w:val="000000"/>
          <w:sz w:val="32"/>
          <w:szCs w:val="32"/>
        </w:rPr>
        <w:t xml:space="preserve">邮电费 </w:t>
      </w:r>
      <w:r>
        <w:rPr>
          <w:rFonts w:hint="eastAsia" w:ascii="楷体_GB2312" w:hAnsi="楷体_GB2312" w:eastAsia="楷体_GB2312" w:cs="楷体_GB2312"/>
          <w:color w:val="000000"/>
          <w:sz w:val="32"/>
          <w:szCs w:val="32"/>
          <w:lang w:val="en-US" w:eastAsia="zh-CN"/>
        </w:rPr>
        <w:t>0</w:t>
      </w:r>
      <w:r>
        <w:rPr>
          <w:rFonts w:hint="eastAsia" w:ascii="楷体_GB2312" w:hAnsi="楷体_GB2312" w:eastAsia="楷体_GB2312" w:cs="楷体_GB2312"/>
          <w:color w:val="000000"/>
          <w:sz w:val="32"/>
          <w:szCs w:val="32"/>
        </w:rPr>
        <w:t xml:space="preserve"> 万元、差旅费 </w:t>
      </w:r>
      <w:r>
        <w:rPr>
          <w:rFonts w:hint="eastAsia" w:ascii="楷体_GB2312" w:hAnsi="楷体_GB2312" w:eastAsia="楷体_GB2312" w:cs="楷体_GB2312"/>
          <w:color w:val="000000"/>
          <w:sz w:val="32"/>
          <w:szCs w:val="32"/>
          <w:lang w:val="en-US" w:eastAsia="zh-CN"/>
        </w:rPr>
        <w:t>1</w:t>
      </w:r>
      <w:r>
        <w:rPr>
          <w:rFonts w:hint="eastAsia" w:ascii="楷体_GB2312" w:hAnsi="楷体_GB2312" w:eastAsia="楷体_GB2312" w:cs="楷体_GB2312"/>
          <w:color w:val="000000"/>
          <w:sz w:val="32"/>
          <w:szCs w:val="32"/>
        </w:rPr>
        <w:t xml:space="preserve"> 万元、</w:t>
      </w:r>
      <w:r>
        <w:rPr>
          <w:rFonts w:hint="eastAsia" w:ascii="楷体_GB2312" w:hAnsi="楷体_GB2312" w:eastAsia="楷体_GB2312" w:cs="楷体_GB2312"/>
          <w:color w:val="000000"/>
          <w:sz w:val="32"/>
          <w:szCs w:val="32"/>
          <w:lang w:val="en-US" w:eastAsia="zh-CN"/>
        </w:rPr>
        <w:t>维修（护）费 0.4 万元、会议费0.5万元、</w:t>
      </w:r>
      <w:r>
        <w:rPr>
          <w:rFonts w:hint="eastAsia" w:ascii="楷体_GB2312" w:hAnsi="楷体_GB2312" w:eastAsia="楷体_GB2312" w:cs="楷体_GB2312"/>
          <w:color w:val="000000"/>
          <w:sz w:val="32"/>
          <w:szCs w:val="32"/>
        </w:rPr>
        <w:t xml:space="preserve">培训费 </w:t>
      </w:r>
      <w:r>
        <w:rPr>
          <w:rFonts w:hint="eastAsia" w:ascii="楷体_GB2312" w:hAnsi="楷体_GB2312" w:eastAsia="楷体_GB2312" w:cs="楷体_GB2312"/>
          <w:color w:val="000000"/>
          <w:sz w:val="32"/>
          <w:szCs w:val="32"/>
          <w:lang w:val="en-US" w:eastAsia="zh-CN"/>
        </w:rPr>
        <w:t>0.5</w:t>
      </w:r>
      <w:r>
        <w:rPr>
          <w:rFonts w:hint="eastAsia" w:ascii="楷体_GB2312" w:hAnsi="楷体_GB2312" w:eastAsia="楷体_GB2312" w:cs="楷体_GB2312"/>
          <w:color w:val="000000"/>
          <w:sz w:val="32"/>
          <w:szCs w:val="32"/>
        </w:rPr>
        <w:t xml:space="preserve"> 万元、</w:t>
      </w:r>
      <w:r>
        <w:rPr>
          <w:rFonts w:hint="eastAsia" w:ascii="楷体_GB2312" w:hAnsi="楷体_GB2312" w:eastAsia="楷体_GB2312" w:cs="楷体_GB2312"/>
          <w:color w:val="000000"/>
          <w:sz w:val="32"/>
          <w:szCs w:val="32"/>
          <w:lang w:val="en-US" w:eastAsia="zh-CN"/>
        </w:rPr>
        <w:t>公务接待费3万、劳务费2万；</w:t>
      </w:r>
      <w:r>
        <w:rPr>
          <w:rFonts w:hint="eastAsia" w:ascii="楷体_GB2312" w:hAnsi="楷体_GB2312" w:eastAsia="楷体_GB2312" w:cs="楷体_GB2312"/>
          <w:color w:val="000000"/>
          <w:sz w:val="32"/>
          <w:szCs w:val="32"/>
        </w:rPr>
        <w:t xml:space="preserve">工会经费 </w:t>
      </w:r>
      <w:r>
        <w:rPr>
          <w:rFonts w:hint="eastAsia" w:ascii="楷体_GB2312" w:hAnsi="楷体_GB2312" w:eastAsia="楷体_GB2312" w:cs="楷体_GB2312"/>
          <w:color w:val="000000"/>
          <w:sz w:val="32"/>
          <w:szCs w:val="32"/>
          <w:lang w:val="en-US" w:eastAsia="zh-CN"/>
        </w:rPr>
        <w:t>18.6</w:t>
      </w:r>
      <w:r>
        <w:rPr>
          <w:rFonts w:hint="eastAsia" w:ascii="楷体_GB2312" w:hAnsi="楷体_GB2312" w:eastAsia="楷体_GB2312" w:cs="楷体_GB2312"/>
          <w:color w:val="000000"/>
          <w:sz w:val="32"/>
          <w:szCs w:val="32"/>
        </w:rPr>
        <w:t xml:space="preserve"> 万元、福利费 </w:t>
      </w:r>
      <w:r>
        <w:rPr>
          <w:rFonts w:hint="eastAsia" w:ascii="楷体_GB2312" w:hAnsi="楷体_GB2312" w:eastAsia="楷体_GB2312" w:cs="楷体_GB2312"/>
          <w:color w:val="000000"/>
          <w:sz w:val="32"/>
          <w:szCs w:val="32"/>
          <w:lang w:val="en-US" w:eastAsia="zh-CN"/>
        </w:rPr>
        <w:t>38.75</w:t>
      </w:r>
      <w:r>
        <w:rPr>
          <w:rFonts w:hint="eastAsia" w:ascii="楷体_GB2312" w:hAnsi="楷体_GB2312" w:eastAsia="楷体_GB2312" w:cs="楷体_GB2312"/>
          <w:color w:val="000000"/>
          <w:sz w:val="32"/>
          <w:szCs w:val="32"/>
        </w:rPr>
        <w:t xml:space="preserve"> 万元、公务用车维护费 </w:t>
      </w:r>
      <w:r>
        <w:rPr>
          <w:rFonts w:hint="eastAsia" w:ascii="楷体_GB2312" w:hAnsi="楷体_GB2312" w:eastAsia="楷体_GB2312" w:cs="楷体_GB2312"/>
          <w:color w:val="000000"/>
          <w:sz w:val="32"/>
          <w:szCs w:val="32"/>
          <w:lang w:val="en-US" w:eastAsia="zh-CN"/>
        </w:rPr>
        <w:t>0</w:t>
      </w:r>
      <w:r>
        <w:rPr>
          <w:rFonts w:hint="eastAsia" w:ascii="楷体_GB2312" w:hAnsi="楷体_GB2312" w:eastAsia="楷体_GB2312" w:cs="楷体_GB2312"/>
          <w:color w:val="000000"/>
          <w:sz w:val="32"/>
          <w:szCs w:val="32"/>
        </w:rPr>
        <w:t xml:space="preserve"> 万元、其他交通费 </w:t>
      </w:r>
      <w:r>
        <w:rPr>
          <w:rFonts w:hint="eastAsia" w:ascii="楷体_GB2312" w:hAnsi="楷体_GB2312" w:eastAsia="楷体_GB2312" w:cs="楷体_GB2312"/>
          <w:color w:val="000000"/>
          <w:sz w:val="32"/>
          <w:szCs w:val="32"/>
          <w:lang w:val="en-US" w:eastAsia="zh-CN"/>
        </w:rPr>
        <w:t>181.63</w:t>
      </w:r>
      <w:r>
        <w:rPr>
          <w:rFonts w:hint="eastAsia" w:ascii="楷体_GB2312" w:hAnsi="楷体_GB2312" w:eastAsia="楷体_GB2312" w:cs="楷体_GB2312"/>
          <w:color w:val="000000"/>
          <w:sz w:val="32"/>
          <w:szCs w:val="32"/>
        </w:rPr>
        <w:t xml:space="preserve">万元、其他 </w:t>
      </w:r>
      <w:r>
        <w:rPr>
          <w:rFonts w:hint="eastAsia" w:ascii="楷体_GB2312" w:hAnsi="楷体_GB2312" w:eastAsia="楷体_GB2312" w:cs="楷体_GB2312"/>
          <w:color w:val="000000"/>
          <w:sz w:val="32"/>
          <w:szCs w:val="32"/>
          <w:lang w:val="en-US" w:eastAsia="zh-CN"/>
        </w:rPr>
        <w:t>0</w:t>
      </w:r>
      <w:r>
        <w:rPr>
          <w:rFonts w:hint="eastAsia" w:ascii="楷体_GB2312" w:hAnsi="楷体_GB2312" w:eastAsia="楷体_GB2312" w:cs="楷体_GB2312"/>
          <w:color w:val="000000"/>
          <w:sz w:val="32"/>
          <w:szCs w:val="32"/>
        </w:rPr>
        <w:t>万元。</w:t>
      </w:r>
      <w:r>
        <w:rPr>
          <w:rFonts w:hint="eastAsia" w:ascii="楷体_GB2312" w:hAnsi="楷体_GB2312" w:eastAsia="楷体_GB2312" w:cs="楷体_GB2312"/>
          <w:color w:val="000000"/>
          <w:sz w:val="32"/>
          <w:szCs w:val="32"/>
          <w:lang w:val="en-US" w:eastAsia="zh-CN"/>
        </w:rPr>
        <w:t>增长主要由于工会经费、福利费增加，另借用衡水中学学生公寓楼一栋，故相应增加水费、电费、物业管理费等后勤保障费用。</w:t>
      </w:r>
    </w:p>
    <w:p>
      <w:pPr>
        <w:adjustRightInd w:val="0"/>
        <w:snapToGrid w:val="0"/>
        <w:spacing w:line="560" w:lineRule="exact"/>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 xml:space="preserve">    五、政府采购预算情况说明</w:t>
      </w:r>
    </w:p>
    <w:p>
      <w:pPr>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政府采购预算总额  </w:t>
      </w:r>
      <w:r>
        <w:rPr>
          <w:rFonts w:hint="eastAsia" w:ascii="楷体_GB2312" w:hAnsi="楷体_GB2312" w:eastAsia="楷体_GB2312" w:cs="楷体_GB2312"/>
          <w:sz w:val="32"/>
          <w:szCs w:val="32"/>
          <w:lang w:val="en-US" w:eastAsia="zh-CN"/>
        </w:rPr>
        <w:t>100</w:t>
      </w:r>
      <w:r>
        <w:rPr>
          <w:rFonts w:hint="eastAsia" w:ascii="楷体_GB2312" w:hAnsi="楷体_GB2312" w:eastAsia="楷体_GB2312" w:cs="楷体_GB2312"/>
          <w:sz w:val="32"/>
          <w:szCs w:val="32"/>
        </w:rPr>
        <w:t xml:space="preserve"> 万元，其中：政府采购货物预算   </w:t>
      </w:r>
      <w:r>
        <w:rPr>
          <w:rFonts w:hint="eastAsia" w:ascii="楷体_GB2312" w:hAnsi="楷体_GB2312" w:eastAsia="楷体_GB2312" w:cs="楷体_GB2312"/>
          <w:sz w:val="32"/>
          <w:szCs w:val="32"/>
          <w:lang w:val="en-US" w:eastAsia="zh-CN"/>
        </w:rPr>
        <w:t>100</w:t>
      </w:r>
      <w:r>
        <w:rPr>
          <w:rFonts w:hint="eastAsia" w:ascii="楷体_GB2312" w:hAnsi="楷体_GB2312" w:eastAsia="楷体_GB2312" w:cs="楷体_GB2312"/>
          <w:sz w:val="32"/>
          <w:szCs w:val="32"/>
        </w:rPr>
        <w:t xml:space="preserve">万元，政府采购工程预算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万元，政府采购服务预算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万元。</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六、政府性基金预算财政拨款支出情况</w:t>
      </w:r>
      <w:r>
        <w:rPr>
          <w:rFonts w:hint="eastAsia" w:ascii="楷体_GB2312" w:hAnsi="楷体_GB2312" w:eastAsia="楷体_GB2312" w:cs="楷体_GB2312"/>
          <w:color w:val="000000"/>
          <w:sz w:val="32"/>
          <w:szCs w:val="32"/>
        </w:rPr>
        <w:t>说明</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本单位2020年无政府性基金支出预算。</w:t>
      </w:r>
    </w:p>
    <w:p>
      <w:pPr>
        <w:adjustRightInd w:val="0"/>
        <w:snapToGrid w:val="0"/>
        <w:spacing w:line="560" w:lineRule="exact"/>
        <w:jc w:val="center"/>
        <w:rPr>
          <w:rFonts w:hint="eastAsia" w:ascii="楷体_GB2312" w:hAnsi="黑体" w:eastAsia="楷体_GB2312"/>
          <w:b/>
          <w:color w:val="000000"/>
          <w:sz w:val="32"/>
          <w:szCs w:val="32"/>
        </w:rPr>
      </w:pPr>
    </w:p>
    <w:p>
      <w:pPr>
        <w:adjustRightInd w:val="0"/>
        <w:snapToGrid w:val="0"/>
        <w:spacing w:line="560" w:lineRule="exact"/>
        <w:jc w:val="center"/>
        <w:rPr>
          <w:rFonts w:hint="eastAsia" w:ascii="楷体_GB2312" w:hAnsi="黑体" w:eastAsia="楷体_GB2312"/>
          <w:b/>
          <w:color w:val="000000"/>
          <w:sz w:val="32"/>
          <w:szCs w:val="32"/>
        </w:rPr>
      </w:pPr>
      <w:r>
        <w:rPr>
          <w:rFonts w:hint="eastAsia" w:ascii="楷体_GB2312" w:hAnsi="黑体" w:eastAsia="楷体_GB2312"/>
          <w:b/>
          <w:color w:val="000000"/>
          <w:sz w:val="32"/>
          <w:szCs w:val="32"/>
        </w:rPr>
        <w:t>第三部分  其他公开事项说明</w:t>
      </w:r>
    </w:p>
    <w:p>
      <w:pPr>
        <w:adjustRightInd w:val="0"/>
        <w:snapToGrid w:val="0"/>
        <w:spacing w:line="560" w:lineRule="exact"/>
        <w:jc w:val="center"/>
        <w:rPr>
          <w:rFonts w:hint="eastAsia" w:ascii="楷体_GB2312" w:hAnsi="黑体" w:eastAsia="楷体_GB2312"/>
          <w:b/>
          <w:color w:val="000000"/>
          <w:sz w:val="32"/>
          <w:szCs w:val="32"/>
        </w:rPr>
      </w:pP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 一、</w:t>
      </w:r>
      <w:r>
        <w:rPr>
          <w:rFonts w:hint="eastAsia" w:ascii="楷体_GB2312" w:hAnsi="黑体" w:eastAsia="楷体_GB2312"/>
          <w:sz w:val="32"/>
          <w:szCs w:val="32"/>
        </w:rPr>
        <w:t>项目支出绩效目标情况说明</w:t>
      </w:r>
    </w:p>
    <w:p>
      <w:pPr>
        <w:snapToGrid w:val="0"/>
        <w:spacing w:line="560" w:lineRule="exact"/>
        <w:ind w:firstLine="640"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2020年，填报绩效目标的预算项目</w:t>
      </w:r>
      <w:r>
        <w:rPr>
          <w:rFonts w:hint="eastAsia" w:ascii="楷体_GB2312" w:hAnsi="楷体_GB2312" w:eastAsia="楷体_GB2312" w:cs="楷体_GB2312"/>
          <w:color w:val="000000"/>
          <w:sz w:val="32"/>
          <w:szCs w:val="32"/>
          <w:lang w:val="en-US" w:eastAsia="zh-CN"/>
        </w:rPr>
        <w:t>4</w:t>
      </w:r>
      <w:r>
        <w:rPr>
          <w:rFonts w:hint="eastAsia" w:ascii="楷体_GB2312" w:hAnsi="楷体_GB2312" w:eastAsia="楷体_GB2312" w:cs="楷体_GB2312"/>
          <w:color w:val="000000"/>
          <w:sz w:val="32"/>
          <w:szCs w:val="32"/>
        </w:rPr>
        <w:t>个，公开绩效目标</w:t>
      </w:r>
      <w:r>
        <w:rPr>
          <w:rFonts w:hint="eastAsia" w:ascii="楷体_GB2312" w:hAnsi="楷体_GB2312" w:eastAsia="楷体_GB2312" w:cs="楷体_GB2312"/>
          <w:color w:val="000000"/>
          <w:sz w:val="32"/>
          <w:szCs w:val="32"/>
          <w:lang w:val="en-US" w:eastAsia="zh-CN"/>
        </w:rPr>
        <w:t>4</w:t>
      </w:r>
      <w:r>
        <w:rPr>
          <w:rFonts w:hint="eastAsia" w:ascii="楷体_GB2312" w:hAnsi="楷体_GB2312" w:eastAsia="楷体_GB2312" w:cs="楷体_GB2312"/>
          <w:color w:val="000000"/>
          <w:sz w:val="32"/>
          <w:szCs w:val="32"/>
        </w:rPr>
        <w:t>个，公开项目占全部预算项目的</w:t>
      </w:r>
      <w:r>
        <w:rPr>
          <w:rFonts w:hint="eastAsia" w:ascii="楷体_GB2312" w:hAnsi="楷体_GB2312" w:eastAsia="楷体_GB2312" w:cs="楷体_GB2312"/>
          <w:color w:val="000000"/>
          <w:sz w:val="32"/>
          <w:szCs w:val="32"/>
          <w:lang w:val="en-US" w:eastAsia="zh-CN"/>
        </w:rPr>
        <w:t>100</w:t>
      </w:r>
      <w:r>
        <w:rPr>
          <w:rFonts w:hint="eastAsia" w:ascii="楷体_GB2312" w:hAnsi="楷体_GB2312" w:eastAsia="楷体_GB2312" w:cs="楷体_GB2312"/>
          <w:color w:val="000000"/>
          <w:sz w:val="32"/>
          <w:szCs w:val="32"/>
        </w:rPr>
        <w:t>%。公开填报绩效目标的项目支出预算</w:t>
      </w:r>
      <w:r>
        <w:rPr>
          <w:rFonts w:hint="eastAsia" w:ascii="楷体_GB2312" w:hAnsi="楷体_GB2312" w:eastAsia="楷体_GB2312" w:cs="楷体_GB2312"/>
          <w:color w:val="000000"/>
          <w:sz w:val="32"/>
          <w:szCs w:val="32"/>
          <w:lang w:val="en-US" w:eastAsia="zh-CN"/>
        </w:rPr>
        <w:t>142</w:t>
      </w:r>
      <w:r>
        <w:rPr>
          <w:rFonts w:hint="eastAsia" w:ascii="楷体_GB2312" w:hAnsi="楷体_GB2312" w:eastAsia="楷体_GB2312" w:cs="楷体_GB2312"/>
          <w:color w:val="000000"/>
          <w:sz w:val="32"/>
          <w:szCs w:val="32"/>
        </w:rPr>
        <w:t>万元，占全部项目支出预算的</w:t>
      </w:r>
      <w:r>
        <w:rPr>
          <w:rFonts w:hint="eastAsia" w:ascii="楷体_GB2312" w:hAnsi="楷体_GB2312" w:eastAsia="楷体_GB2312" w:cs="楷体_GB2312"/>
          <w:color w:val="000000"/>
          <w:sz w:val="32"/>
          <w:szCs w:val="32"/>
          <w:lang w:val="en-US" w:eastAsia="zh-CN"/>
        </w:rPr>
        <w:t>100</w:t>
      </w:r>
      <w:r>
        <w:rPr>
          <w:rFonts w:hint="eastAsia" w:ascii="楷体_GB2312" w:hAnsi="楷体_GB2312" w:eastAsia="楷体_GB2312" w:cs="楷体_GB2312"/>
          <w:color w:val="000000"/>
          <w:sz w:val="32"/>
          <w:szCs w:val="32"/>
        </w:rPr>
        <w:t>%。</w:t>
      </w:r>
    </w:p>
    <w:p>
      <w:pPr>
        <w:adjustRightInd w:val="0"/>
        <w:snapToGrid w:val="0"/>
        <w:spacing w:line="560" w:lineRule="exact"/>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 xml:space="preserve">    二、国有资产占有使用情况说明</w:t>
      </w:r>
    </w:p>
    <w:p>
      <w:pPr>
        <w:snapToGrid w:val="0"/>
        <w:spacing w:line="560" w:lineRule="exact"/>
        <w:ind w:firstLine="640" w:firstLineChars="200"/>
        <w:rPr>
          <w:rFonts w:hint="eastAsia" w:ascii="楷体_GB2312" w:hAnsi="楷体_GB2312" w:eastAsia="楷体_GB2312" w:cs="楷体_GB2312"/>
          <w:color w:val="000000"/>
          <w:sz w:val="32"/>
          <w:szCs w:val="32"/>
          <w:highlight w:val="yellow"/>
        </w:rPr>
      </w:pPr>
      <w:r>
        <w:rPr>
          <w:rFonts w:hint="eastAsia" w:ascii="楷体_GB2312" w:hAnsi="楷体_GB2312" w:eastAsia="楷体_GB2312" w:cs="楷体_GB2312"/>
          <w:color w:val="000000"/>
          <w:sz w:val="32"/>
          <w:szCs w:val="32"/>
        </w:rPr>
        <w:t xml:space="preserve">截至2019年末，共有车辆  </w:t>
      </w:r>
      <w:r>
        <w:rPr>
          <w:rFonts w:hint="eastAsia" w:ascii="楷体_GB2312" w:hAnsi="楷体_GB2312" w:eastAsia="楷体_GB2312" w:cs="楷体_GB2312"/>
          <w:color w:val="000000"/>
          <w:sz w:val="32"/>
          <w:szCs w:val="32"/>
          <w:lang w:val="en-US" w:eastAsia="zh-CN"/>
        </w:rPr>
        <w:t>3</w:t>
      </w:r>
      <w:r>
        <w:rPr>
          <w:rFonts w:hint="eastAsia" w:ascii="楷体_GB2312" w:hAnsi="楷体_GB2312" w:eastAsia="楷体_GB2312" w:cs="楷体_GB2312"/>
          <w:color w:val="000000"/>
          <w:sz w:val="32"/>
          <w:szCs w:val="32"/>
        </w:rPr>
        <w:t xml:space="preserve"> 辆， 其中：机要应急车辆 </w:t>
      </w:r>
      <w:r>
        <w:rPr>
          <w:rFonts w:hint="eastAsia" w:ascii="楷体_GB2312" w:hAnsi="楷体_GB2312" w:eastAsia="楷体_GB2312" w:cs="楷体_GB2312"/>
          <w:color w:val="000000"/>
          <w:sz w:val="32"/>
          <w:szCs w:val="32"/>
          <w:lang w:val="en-US" w:eastAsia="zh-CN"/>
        </w:rPr>
        <w:t>0</w:t>
      </w:r>
      <w:r>
        <w:rPr>
          <w:rFonts w:hint="eastAsia" w:ascii="楷体_GB2312" w:hAnsi="楷体_GB2312" w:eastAsia="楷体_GB2312" w:cs="楷体_GB2312"/>
          <w:color w:val="000000"/>
          <w:sz w:val="32"/>
          <w:szCs w:val="32"/>
        </w:rPr>
        <w:t xml:space="preserve"> 辆等，单位价值</w:t>
      </w:r>
      <w:r>
        <w:rPr>
          <w:rFonts w:hint="eastAsia" w:ascii="楷体_GB2312" w:hAnsi="楷体_GB2312" w:eastAsia="楷体_GB2312" w:cs="楷体_GB2312"/>
          <w:color w:val="000000"/>
          <w:sz w:val="32"/>
          <w:szCs w:val="32"/>
          <w:lang w:val="en-US" w:eastAsia="zh-CN"/>
        </w:rPr>
        <w:t>50</w:t>
      </w:r>
      <w:r>
        <w:rPr>
          <w:rFonts w:hint="eastAsia" w:ascii="楷体_GB2312" w:hAnsi="楷体_GB2312" w:eastAsia="楷体_GB2312" w:cs="楷体_GB2312"/>
          <w:color w:val="000000"/>
          <w:sz w:val="32"/>
          <w:szCs w:val="32"/>
        </w:rPr>
        <w:t>万元以上大型</w:t>
      </w:r>
      <w:r>
        <w:rPr>
          <w:rFonts w:hint="eastAsia" w:ascii="楷体_GB2312" w:hAnsi="楷体_GB2312" w:eastAsia="楷体_GB2312" w:cs="楷体_GB2312"/>
          <w:color w:val="000000"/>
          <w:sz w:val="32"/>
          <w:szCs w:val="32"/>
          <w:lang w:val="en-US" w:eastAsia="zh-CN"/>
        </w:rPr>
        <w:t>通用</w:t>
      </w:r>
      <w:r>
        <w:rPr>
          <w:rFonts w:hint="eastAsia" w:ascii="楷体_GB2312" w:hAnsi="楷体_GB2312" w:eastAsia="楷体_GB2312" w:cs="楷体_GB2312"/>
          <w:color w:val="000000"/>
          <w:sz w:val="32"/>
          <w:szCs w:val="32"/>
        </w:rPr>
        <w:t>设备</w:t>
      </w:r>
      <w:r>
        <w:rPr>
          <w:rFonts w:hint="eastAsia" w:ascii="楷体_GB2312" w:hAnsi="楷体_GB2312" w:eastAsia="楷体_GB2312" w:cs="楷体_GB2312"/>
          <w:color w:val="000000"/>
          <w:sz w:val="32"/>
          <w:szCs w:val="32"/>
          <w:lang w:val="en-US" w:eastAsia="zh-CN"/>
        </w:rPr>
        <w:t>11</w:t>
      </w:r>
      <w:r>
        <w:rPr>
          <w:rFonts w:hint="eastAsia" w:ascii="楷体_GB2312" w:hAnsi="楷体_GB2312" w:eastAsia="楷体_GB2312" w:cs="楷体_GB2312"/>
          <w:color w:val="000000"/>
          <w:sz w:val="32"/>
          <w:szCs w:val="32"/>
        </w:rPr>
        <w:t>台（套）</w:t>
      </w:r>
      <w:r>
        <w:rPr>
          <w:rFonts w:hint="eastAsia" w:ascii="楷体_GB2312" w:hAnsi="楷体_GB2312" w:eastAsia="楷体_GB2312" w:cs="楷体_GB2312"/>
          <w:color w:val="000000"/>
          <w:sz w:val="32"/>
          <w:szCs w:val="32"/>
          <w:lang w:eastAsia="zh-CN"/>
        </w:rPr>
        <w:t>，</w:t>
      </w:r>
      <w:r>
        <w:rPr>
          <w:rFonts w:hint="eastAsia" w:ascii="楷体_GB2312" w:hAnsi="楷体_GB2312" w:eastAsia="楷体_GB2312" w:cs="楷体_GB2312"/>
          <w:color w:val="000000"/>
          <w:sz w:val="32"/>
          <w:szCs w:val="32"/>
          <w:lang w:val="en-US" w:eastAsia="zh-CN"/>
        </w:rPr>
        <w:t>单位价值100万元以上大型专用设备1台（套）</w:t>
      </w:r>
      <w:r>
        <w:rPr>
          <w:rFonts w:hint="eastAsia" w:ascii="楷体_GB2312" w:hAnsi="楷体_GB2312" w:eastAsia="楷体_GB2312" w:cs="楷体_GB2312"/>
          <w:color w:val="000000"/>
          <w:sz w:val="32"/>
          <w:szCs w:val="32"/>
        </w:rPr>
        <w:t>。</w:t>
      </w:r>
    </w:p>
    <w:p>
      <w:pPr>
        <w:spacing w:line="560" w:lineRule="exact"/>
        <w:jc w:val="center"/>
        <w:rPr>
          <w:rFonts w:hint="eastAsia" w:ascii="楷体_GB2312" w:hAnsi="黑体" w:eastAsia="楷体_GB2312"/>
          <w:b/>
          <w:color w:val="000000"/>
          <w:sz w:val="32"/>
          <w:szCs w:val="32"/>
        </w:rPr>
      </w:pPr>
    </w:p>
    <w:p>
      <w:pPr>
        <w:spacing w:line="560" w:lineRule="exact"/>
        <w:jc w:val="center"/>
        <w:rPr>
          <w:rFonts w:hint="eastAsia" w:ascii="楷体_GB2312" w:hAnsi="楷体_GB2312" w:eastAsia="楷体_GB2312" w:cs="楷体_GB2312"/>
          <w:b/>
          <w:sz w:val="32"/>
          <w:szCs w:val="32"/>
        </w:rPr>
      </w:pPr>
      <w:r>
        <w:rPr>
          <w:rFonts w:hint="eastAsia" w:ascii="楷体_GB2312" w:hAnsi="黑体" w:eastAsia="楷体_GB2312"/>
          <w:b/>
          <w:color w:val="000000"/>
          <w:sz w:val="32"/>
          <w:szCs w:val="32"/>
        </w:rPr>
        <w:t>第四</w:t>
      </w:r>
      <w:r>
        <w:rPr>
          <w:rFonts w:hint="eastAsia" w:ascii="楷体_GB2312" w:hAnsi="楷体_GB2312" w:eastAsia="楷体_GB2312" w:cs="楷体_GB2312"/>
          <w:b/>
          <w:color w:val="000000"/>
          <w:sz w:val="32"/>
          <w:szCs w:val="32"/>
        </w:rPr>
        <w:t xml:space="preserve">部分  </w:t>
      </w:r>
      <w:r>
        <w:rPr>
          <w:rFonts w:hint="eastAsia" w:ascii="楷体_GB2312" w:hAnsi="楷体_GB2312" w:eastAsia="楷体_GB2312" w:cs="楷体_GB2312"/>
          <w:b/>
          <w:sz w:val="32"/>
          <w:szCs w:val="32"/>
        </w:rPr>
        <w:t>名词解释</w:t>
      </w:r>
    </w:p>
    <w:p>
      <w:pPr>
        <w:spacing w:line="560" w:lineRule="exact"/>
        <w:jc w:val="center"/>
        <w:rPr>
          <w:rFonts w:hint="eastAsia" w:ascii="楷体_GB2312" w:hAnsi="楷体_GB2312" w:eastAsia="楷体_GB2312" w:cs="楷体_GB2312"/>
          <w:b/>
          <w:sz w:val="32"/>
          <w:szCs w:val="32"/>
        </w:rPr>
      </w:pPr>
    </w:p>
    <w:p>
      <w:pPr>
        <w:snapToGrid w:val="0"/>
        <w:spacing w:line="560" w:lineRule="exact"/>
        <w:ind w:firstLine="640"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sz w:val="32"/>
          <w:szCs w:val="32"/>
        </w:rPr>
        <w:t>1、</w:t>
      </w:r>
      <w:r>
        <w:rPr>
          <w:rFonts w:hint="eastAsia" w:ascii="楷体_GB2312" w:hAnsi="楷体_GB2312" w:eastAsia="楷体_GB2312" w:cs="楷体_GB2312"/>
          <w:color w:val="000000"/>
          <w:sz w:val="32"/>
          <w:szCs w:val="32"/>
        </w:rPr>
        <w:t>一般公共预算财政拨款收入：是指财政当年拨付的资金。</w:t>
      </w:r>
    </w:p>
    <w:p>
      <w:pPr>
        <w:snapToGrid w:val="0"/>
        <w:spacing w:line="560" w:lineRule="exact"/>
        <w:ind w:firstLine="640"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2、事业收入：是指事业单位开展专业业务活动及辅助活动所取得的收入。</w:t>
      </w:r>
    </w:p>
    <w:p>
      <w:pPr>
        <w:snapToGrid w:val="0"/>
        <w:spacing w:line="560" w:lineRule="exact"/>
        <w:ind w:firstLine="645"/>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3、事业单位经营收入：是指事业单位在专业业务活动及其辅助活动之外开展非独立核算经营活动取得的收入。</w:t>
      </w:r>
    </w:p>
    <w:p>
      <w:pPr>
        <w:snapToGrid w:val="0"/>
        <w:spacing w:line="560" w:lineRule="exact"/>
        <w:ind w:firstLine="645"/>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4、其他收入 ：是指除上述“一般公共预算财政拨款收入”、“事业收入”、“事业单位经营收入”等以外的收入。主要是指按规定动用的售房收入、存款利息收入等。</w:t>
      </w:r>
    </w:p>
    <w:p>
      <w:pPr>
        <w:snapToGrid w:val="0"/>
        <w:spacing w:line="560" w:lineRule="exact"/>
        <w:ind w:firstLine="645"/>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5、用事业基金弥补收支差额：是指事业单位在预计用当年的“一般公共预算财政拨款收入”、“财政拨款结转和结余资金”、“事业收入”、“事业单位经营收入”、“其他收入”不足以安排当年支出的情况下，使用以前年度积累的事业基金（事业单位当年收支相抵后按国家规定提取、用于弥补以后年度收支差额的基金）弥补本年收支缺口的资金。</w:t>
      </w:r>
    </w:p>
    <w:p>
      <w:pPr>
        <w:snapToGrid w:val="0"/>
        <w:spacing w:line="560" w:lineRule="exact"/>
        <w:ind w:firstLine="645"/>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6、上年结转：是指以前年度尚未完成、结转到本年仍按原规定用途继续使用的资金。</w:t>
      </w:r>
    </w:p>
    <w:p>
      <w:pPr>
        <w:snapToGrid w:val="0"/>
        <w:spacing w:line="560" w:lineRule="exact"/>
        <w:ind w:firstLine="645"/>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7、基本支出：是指为保障机构正常运转，完成日常工作任务而发生的人员支出和共用支出。</w:t>
      </w:r>
    </w:p>
    <w:p>
      <w:pPr>
        <w:snapToGrid w:val="0"/>
        <w:spacing w:line="560" w:lineRule="exact"/>
        <w:ind w:firstLine="645"/>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8、项目支出：是指基本支出之外，为完成特定行政任务和事业发展目标所发生的支出。</w:t>
      </w:r>
    </w:p>
    <w:p>
      <w:pPr>
        <w:snapToGrid w:val="0"/>
        <w:spacing w:line="560" w:lineRule="exact"/>
        <w:ind w:firstLine="645"/>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9、“三公”经费：纳入财政预决算管理的“三公”经费，是指部门用财政拨款安排的因公出国（境）费、公务用车购置及运行费和公务接待费。</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10、机关运行经费：机关运行经费，是指各部门的公用经费，包括办公及印刷费、邮电费、差旅费、会议费、福利费、日常维修费、专业材料及一般设备购置费、办公用房水电费、办公用房取暖费、办公用房物业管理费、公务用车运行维护费以及其他费用。</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11、工资福利支出（支出经济分类科目类级）：反映单位开支的在职职工和编制外长期聘用人员的各类活动报酬，以及为上述人员缴纳的各项社会保险费等。</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12、商品和服务支出（支出经济分类科目类级）：反映单位购买商品和服务的支出（不包括用于购置固定资产的支出、战略性和应急储备支出）。</w:t>
      </w:r>
    </w:p>
    <w:p>
      <w:pPr>
        <w:adjustRightInd w:val="0"/>
        <w:snapToGrid w:val="0"/>
        <w:spacing w:line="560" w:lineRule="exact"/>
        <w:jc w:val="center"/>
        <w:rPr>
          <w:rFonts w:hint="eastAsia" w:ascii="楷体_GB2312" w:hAnsi="黑体" w:eastAsia="楷体_GB2312"/>
          <w:b/>
          <w:color w:val="000000"/>
          <w:sz w:val="32"/>
          <w:szCs w:val="32"/>
        </w:rPr>
      </w:pPr>
      <w:r>
        <w:rPr>
          <w:rFonts w:hint="eastAsia" w:ascii="楷体_GB2312" w:hAnsi="黑体" w:eastAsia="楷体_GB2312"/>
          <w:b/>
          <w:color w:val="000000"/>
          <w:sz w:val="32"/>
          <w:szCs w:val="32"/>
        </w:rPr>
        <w:t>第五部分  预算公开联系方式及信息反馈渠道</w:t>
      </w:r>
    </w:p>
    <w:p>
      <w:pPr>
        <w:adjustRightInd w:val="0"/>
        <w:snapToGrid w:val="0"/>
        <w:spacing w:line="560" w:lineRule="exact"/>
        <w:jc w:val="center"/>
        <w:rPr>
          <w:rFonts w:hint="eastAsia" w:ascii="楷体_GB2312" w:hAnsi="黑体" w:eastAsia="楷体_GB2312"/>
          <w:b/>
          <w:color w:val="000000"/>
          <w:sz w:val="32"/>
          <w:szCs w:val="32"/>
        </w:rPr>
      </w:pPr>
    </w:p>
    <w:p>
      <w:pPr>
        <w:snapToGrid w:val="0"/>
        <w:spacing w:line="560" w:lineRule="exact"/>
        <w:ind w:firstLine="640" w:firstLineChars="200"/>
        <w:rPr>
          <w:rFonts w:hint="eastAsia" w:ascii="仿宋_GB2312" w:hAnsi="黑体" w:eastAsia="仿宋_GB2312"/>
          <w:color w:val="000000"/>
          <w:sz w:val="32"/>
          <w:szCs w:val="32"/>
        </w:rPr>
      </w:pPr>
      <w:r>
        <w:rPr>
          <w:rFonts w:hint="eastAsia" w:ascii="仿宋_GB2312" w:hAnsi="黑体" w:eastAsia="仿宋_GB2312"/>
          <w:color w:val="000000"/>
          <w:sz w:val="32"/>
          <w:szCs w:val="32"/>
        </w:rPr>
        <w:t>本单位预算公开信息反馈和联系方式：</w:t>
      </w:r>
    </w:p>
    <w:p>
      <w:pPr>
        <w:snapToGrid w:val="0"/>
        <w:spacing w:line="560" w:lineRule="exact"/>
        <w:ind w:firstLine="640" w:firstLineChars="200"/>
        <w:rPr>
          <w:rFonts w:hint="default" w:ascii="楷体_GB2312" w:hAnsi="楷体_GB2312" w:eastAsia="仿宋_GB2312" w:cs="楷体_GB2312"/>
          <w:sz w:val="36"/>
          <w:szCs w:val="44"/>
          <w:lang w:val="en-US" w:eastAsia="zh-CN"/>
        </w:rPr>
      </w:pPr>
      <w:r>
        <w:rPr>
          <w:rFonts w:hint="eastAsia" w:ascii="仿宋_GB2312" w:hAnsi="黑体" w:eastAsia="仿宋_GB2312"/>
          <w:color w:val="000000"/>
          <w:sz w:val="32"/>
          <w:szCs w:val="32"/>
        </w:rPr>
        <w:t>联系人：</w:t>
      </w:r>
      <w:r>
        <w:rPr>
          <w:rFonts w:hint="eastAsia" w:ascii="仿宋_GB2312" w:hAnsi="黑体" w:eastAsia="仿宋_GB2312"/>
          <w:color w:val="000000"/>
          <w:sz w:val="32"/>
          <w:szCs w:val="32"/>
          <w:lang w:val="en-US" w:eastAsia="zh-CN"/>
        </w:rPr>
        <w:t>布拉格</w:t>
      </w:r>
      <w:r>
        <w:rPr>
          <w:rFonts w:hint="eastAsia" w:ascii="仿宋_GB2312" w:hAnsi="黑体" w:eastAsia="仿宋_GB2312"/>
          <w:color w:val="000000"/>
          <w:sz w:val="32"/>
          <w:szCs w:val="32"/>
        </w:rPr>
        <w:t xml:space="preserve">           联系电话：</w:t>
      </w:r>
      <w:r>
        <w:rPr>
          <w:rFonts w:hint="eastAsia" w:ascii="仿宋_GB2312" w:hAnsi="黑体" w:eastAsia="仿宋_GB2312"/>
          <w:color w:val="000000"/>
          <w:sz w:val="32"/>
          <w:szCs w:val="32"/>
          <w:lang w:val="en-US" w:eastAsia="zh-CN"/>
        </w:rPr>
        <w:t>0477-5119877</w:t>
      </w:r>
    </w:p>
    <w:p>
      <w:pPr>
        <w:adjustRightInd w:val="0"/>
        <w:snapToGrid w:val="0"/>
        <w:spacing w:line="560" w:lineRule="exact"/>
        <w:jc w:val="center"/>
        <w:rPr>
          <w:rFonts w:hint="eastAsia" w:ascii="楷体_GB2312" w:hAnsi="黑体" w:eastAsia="楷体_GB2312"/>
          <w:b/>
          <w:color w:val="000000"/>
          <w:sz w:val="32"/>
          <w:szCs w:val="32"/>
        </w:rPr>
      </w:pPr>
    </w:p>
    <w:p>
      <w:pPr>
        <w:adjustRightInd w:val="0"/>
        <w:snapToGrid w:val="0"/>
        <w:spacing w:line="560" w:lineRule="exact"/>
        <w:jc w:val="center"/>
        <w:rPr>
          <w:rFonts w:hint="eastAsia" w:ascii="楷体_GB2312" w:hAnsi="黑体" w:eastAsia="楷体_GB2312"/>
          <w:b/>
          <w:color w:val="000000"/>
          <w:sz w:val="32"/>
          <w:szCs w:val="32"/>
        </w:rPr>
      </w:pPr>
      <w:r>
        <w:rPr>
          <w:rFonts w:hint="eastAsia" w:ascii="楷体_GB2312" w:hAnsi="黑体" w:eastAsia="楷体_GB2312"/>
          <w:b/>
          <w:color w:val="000000"/>
          <w:sz w:val="32"/>
          <w:szCs w:val="32"/>
        </w:rPr>
        <w:t>第六部分  2020年部门预算公开表</w:t>
      </w:r>
    </w:p>
    <w:p>
      <w:pPr>
        <w:adjustRightInd w:val="0"/>
        <w:snapToGrid w:val="0"/>
        <w:spacing w:line="560" w:lineRule="exact"/>
        <w:jc w:val="center"/>
        <w:rPr>
          <w:rFonts w:hint="eastAsia" w:ascii="楷体_GB2312" w:hAnsi="黑体" w:eastAsia="楷体_GB2312"/>
          <w:b/>
          <w:color w:val="000000"/>
          <w:sz w:val="32"/>
          <w:szCs w:val="32"/>
        </w:rPr>
      </w:pPr>
    </w:p>
    <w:p>
      <w:pPr>
        <w:adjustRightInd w:val="0"/>
        <w:snapToGrid w:val="0"/>
        <w:spacing w:line="560" w:lineRule="exact"/>
        <w:rPr>
          <w:rFonts w:hint="eastAsia" w:ascii="楷体_GB2312" w:hAnsi="楷体_GB2312" w:eastAsia="楷体_GB2312" w:cs="楷体_GB2312"/>
          <w:sz w:val="32"/>
          <w:szCs w:val="32"/>
          <w:highlight w:val="yellow"/>
        </w:rPr>
      </w:pPr>
      <w:r>
        <w:rPr>
          <w:rFonts w:hint="eastAsia" w:ascii="楷体_GB2312" w:hAnsi="楷体_GB2312" w:eastAsia="楷体_GB2312" w:cs="楷体_GB2312"/>
          <w:sz w:val="32"/>
          <w:szCs w:val="32"/>
          <w:highlight w:val="yellow"/>
        </w:rPr>
        <w:t>详见附表：部门预算公开表，项目支出绩效目标表（绩效目标申报表要求统一打包成压缩包附后）。</w:t>
      </w:r>
    </w:p>
    <w:p>
      <w:pPr>
        <w:spacing w:line="560" w:lineRule="exact"/>
        <w:rPr>
          <w:rFonts w:ascii="楷体_GB2312" w:hAnsi="楷体_GB2312" w:eastAsia="楷体_GB2312" w:cs="楷体_GB2312"/>
          <w:sz w:val="36"/>
          <w:szCs w:val="44"/>
          <w:highlight w:val="cyan"/>
        </w:rPr>
      </w:pPr>
    </w:p>
    <w:p>
      <w:pPr>
        <w:tabs>
          <w:tab w:val="left" w:pos="4920"/>
        </w:tabs>
        <w:jc w:val="left"/>
        <w:rPr>
          <w:rFonts w:hint="eastAsia"/>
        </w:rPr>
      </w:pPr>
    </w:p>
    <w:p/>
    <w:sectPr>
      <w:footerReference r:id="rId3" w:type="default"/>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6</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lvl w:ilvl="0" w:tentative="0">
      <w:start w:val="1"/>
      <w:numFmt w:val="chineseCounting"/>
      <w:suff w:val="nothing"/>
      <w:lvlText w:val="%1、"/>
      <w:lvlJc w:val="left"/>
    </w:lvl>
  </w:abstractNum>
  <w:abstractNum w:abstractNumId="1">
    <w:nsid w:val="00000006"/>
    <w:multiLevelType w:val="singleLevel"/>
    <w:tmpl w:val="00000006"/>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01A86"/>
    <w:rsid w:val="09D96DB4"/>
    <w:rsid w:val="1554319F"/>
    <w:rsid w:val="22F30240"/>
    <w:rsid w:val="24A1108B"/>
    <w:rsid w:val="282E757F"/>
    <w:rsid w:val="2E206410"/>
    <w:rsid w:val="34AC3726"/>
    <w:rsid w:val="352B0926"/>
    <w:rsid w:val="471D64DD"/>
    <w:rsid w:val="4B4C31F1"/>
    <w:rsid w:val="58C95BAD"/>
    <w:rsid w:val="58F64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customStyle="1" w:styleId="5">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2020-05-06T01:20:00Z</dcterms:created>
  <dc:creator>Administrator</dc:creator>
  <cp:lastModifiedBy>Administrator</cp:lastModifiedBy>
  <cp:lastPrinted>2020-05-15T03:49:40Z</cp:lastPrinted>
  <dcterms:modified xsi:type="dcterms:W3CDTF">2020-05-15T03:52:19Z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